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92" w:rsidRPr="00405656" w:rsidRDefault="00F9016A" w:rsidP="002A6E92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OBRAZLOŽENJE FINANCIJSKOG PLANA </w:t>
      </w:r>
      <w:r w:rsidR="002A6E92" w:rsidRPr="00405656">
        <w:rPr>
          <w:rFonts w:eastAsia="Calibri"/>
          <w:b/>
          <w:bCs/>
        </w:rPr>
        <w:t>OSNOVN</w:t>
      </w:r>
      <w:r>
        <w:rPr>
          <w:rFonts w:eastAsia="Calibri"/>
          <w:b/>
          <w:bCs/>
        </w:rPr>
        <w:t>E</w:t>
      </w:r>
      <w:r w:rsidR="002A6E92" w:rsidRPr="00405656">
        <w:rPr>
          <w:rFonts w:eastAsia="Calibri"/>
          <w:b/>
          <w:bCs/>
        </w:rPr>
        <w:t xml:space="preserve"> ŠKOL</w:t>
      </w:r>
      <w:r>
        <w:rPr>
          <w:rFonts w:eastAsia="Calibri"/>
          <w:b/>
          <w:bCs/>
        </w:rPr>
        <w:t xml:space="preserve">E </w:t>
      </w:r>
      <w:r w:rsidR="002A6E92" w:rsidRPr="00405656">
        <w:rPr>
          <w:rFonts w:eastAsia="Calibri"/>
          <w:b/>
          <w:bCs/>
        </w:rPr>
        <w:t>IVANE BRLIĆ-MAŽURANIĆ VIROVITICA</w:t>
      </w:r>
      <w:r>
        <w:rPr>
          <w:rFonts w:eastAsia="Calibri"/>
          <w:b/>
          <w:bCs/>
        </w:rPr>
        <w:t xml:space="preserve"> ZA 2024. I PROJKECIJA ZA 2025. I2026.GODINU</w:t>
      </w:r>
    </w:p>
    <w:p w:rsidR="002A6E92" w:rsidRDefault="002A6E92" w:rsidP="002A6E92"/>
    <w:p w:rsidR="002A6E92" w:rsidRPr="00405656" w:rsidRDefault="002A6E92" w:rsidP="002A6E92">
      <w:pPr>
        <w:numPr>
          <w:ilvl w:val="0"/>
          <w:numId w:val="1"/>
        </w:numPr>
        <w:spacing w:line="276" w:lineRule="auto"/>
        <w:ind w:left="644"/>
        <w:contextualSpacing/>
        <w:rPr>
          <w:rFonts w:eastAsia="Calibri"/>
          <w:b/>
        </w:rPr>
      </w:pPr>
      <w:r w:rsidRPr="00405656">
        <w:rPr>
          <w:rFonts w:eastAsia="Calibri"/>
          <w:b/>
        </w:rPr>
        <w:t>UVOD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Škola je javna ustanova kojoj je djelatnost odgoj i osnovnoškolsko obrazovanje učenika kronološke dobi od 6 do 15 godina. Djelatnost je uređena Nacionalnim kurikulumom, Državnim pedagoškim standardom te zakonskim i podzakonskim aktima.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 xml:space="preserve">Popis temeljnih propisa na temelju kojih se obavlja djelatnost i poslovi u </w:t>
      </w:r>
      <w:proofErr w:type="gramStart"/>
      <w:r w:rsidRPr="00405656">
        <w:rPr>
          <w:rFonts w:eastAsia="Calibri"/>
        </w:rPr>
        <w:t>školi :</w:t>
      </w:r>
      <w:proofErr w:type="gramEnd"/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 xml:space="preserve">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 xml:space="preserve">Zakon o ustanovama (NN RH 76/93, 29/97, 47/99 i 35/08)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 xml:space="preserve">Zakon o odgoju i obrazovanju u osnovnoj i srednjoj školi (NNRH broj: 87/08, 86/09 92/10, 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 xml:space="preserve">           105/10, 90/11, 86/12, 94/13, 152/14 i 7/17)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 xml:space="preserve">Zakon o općem upravnom postupku (NNRH broj 47/09.)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 xml:space="preserve">Državni pedagoški standard osnovnoškolskog sustava odgoja i obrazovanja („Narodne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 xml:space="preserve">            </w:t>
      </w:r>
      <w:proofErr w:type="gramStart"/>
      <w:r w:rsidRPr="00405656">
        <w:rPr>
          <w:rFonts w:eastAsia="Calibri"/>
        </w:rPr>
        <w:t>novine“</w:t>
      </w:r>
      <w:proofErr w:type="gramEnd"/>
      <w:r w:rsidRPr="00405656">
        <w:rPr>
          <w:rFonts w:eastAsia="Calibri"/>
        </w:rPr>
        <w:t xml:space="preserve">, broj 63/08, 90/10)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 xml:space="preserve">Pravilnik o postupku utvrđivanja psihofizičkoga stanja djeteta, učenika te sastavu stručnih 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 xml:space="preserve">           povjerenstva ("Narodne novine" RH, broj 67/14)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 xml:space="preserve">Pravilnik o broju učenika u redovitom i kombiniranom razrednom odjelu i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 xml:space="preserve">            odgojnoobrazovnoj skupini u osnovnoj školi („Narodne </w:t>
      </w:r>
      <w:proofErr w:type="gramStart"/>
      <w:r w:rsidRPr="00405656">
        <w:rPr>
          <w:rFonts w:eastAsia="Calibri"/>
        </w:rPr>
        <w:t>novine“ broj</w:t>
      </w:r>
      <w:proofErr w:type="gramEnd"/>
      <w:r w:rsidRPr="00405656">
        <w:rPr>
          <w:rFonts w:eastAsia="Calibri"/>
        </w:rPr>
        <w:t xml:space="preserve"> 124/09. i 73/10.)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 xml:space="preserve">Pravilnika o osnovnoškolskom i srednjoškolskom odgoju i obrazovanju učenika s teškoćama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 xml:space="preserve">            u razvoju, (NNRH broj 24/15)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 xml:space="preserve">Nastavni plan i program za osnovnu školu („Narodne </w:t>
      </w:r>
      <w:proofErr w:type="gramStart"/>
      <w:r w:rsidRPr="00405656">
        <w:rPr>
          <w:rFonts w:eastAsia="Calibri"/>
        </w:rPr>
        <w:t>novine“ broj</w:t>
      </w:r>
      <w:proofErr w:type="gramEnd"/>
      <w:r w:rsidRPr="00405656">
        <w:rPr>
          <w:rFonts w:eastAsia="Calibri"/>
        </w:rPr>
        <w:t xml:space="preserve"> 102/2006.)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Odluka o upisnom području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 xml:space="preserve">Odluka o kalendaru rada škole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 xml:space="preserve">Godišnji plan i program rada škole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 xml:space="preserve">Školski kurikulum i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drugi propisi koji uređuju standarde, radne odnose, zaštitu ljudi, imovine i okoliša.</w:t>
      </w:r>
    </w:p>
    <w:p w:rsidR="002A6E92" w:rsidRPr="00405656" w:rsidRDefault="002A6E92" w:rsidP="002A6E92">
      <w:pPr>
        <w:spacing w:line="276" w:lineRule="auto"/>
        <w:rPr>
          <w:rFonts w:eastAsia="Calibri"/>
        </w:rPr>
      </w:pPr>
    </w:p>
    <w:p w:rsidR="002A6E92" w:rsidRPr="00405656" w:rsidRDefault="002A6E92" w:rsidP="002A6E92">
      <w:pPr>
        <w:spacing w:line="276" w:lineRule="auto"/>
        <w:rPr>
          <w:rFonts w:eastAsia="Calibri"/>
        </w:rPr>
      </w:pPr>
      <w:r w:rsidRPr="00405656">
        <w:rPr>
          <w:rFonts w:eastAsia="Calibri"/>
        </w:rPr>
        <w:t>Poslovi neposredne provedbe navedenih propisa: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 xml:space="preserve">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Utvrđivanje psihofizičkog stanja djeteta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Upis učenika u prvi razred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Ustroj razrednih odjela za školsku godinu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Pribavljanje suglasnosti ili prethodnog mišljenja osnivača i školskih tijela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Donošenje Godišnjeg plana rada škole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Donošenje školskog kurikuluma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lastRenderedPageBreak/>
        <w:t></w:t>
      </w:r>
      <w:r w:rsidRPr="00405656">
        <w:rPr>
          <w:rFonts w:eastAsia="Calibri"/>
        </w:rPr>
        <w:tab/>
        <w:t>Donošenje financijskog plana za kalendarsku godinu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Organizacija rada škole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Provedba natječaja i zasnivanje radnih odnosa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Izvođenje odgojno-obrazovnog rada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Izvođenje projekta zaštite zdravlja učenika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 xml:space="preserve">Nadzor izvršenja godišnjeg plana rada škole 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Samovrednovanje rada škole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Donošenje mjera za poboljšanje kvalitete rada škole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Praćenje rada učitelja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Stručno usavršavanje radnika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Provedba smotri i natjecanja učenika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Školski projekti i školske priredbe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Rad s učenicima u potrebi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Suradnja s roditeljima</w:t>
      </w:r>
    </w:p>
    <w:p w:rsidR="002A6E92" w:rsidRPr="00405656" w:rsidRDefault="002A6E92" w:rsidP="002A6E92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Suradnja s drugim ustanovama</w:t>
      </w:r>
    </w:p>
    <w:p w:rsidR="002A6E92" w:rsidRDefault="002A6E92" w:rsidP="008428C7">
      <w:pPr>
        <w:spacing w:line="276" w:lineRule="auto"/>
        <w:ind w:left="720"/>
        <w:contextualSpacing/>
        <w:rPr>
          <w:rFonts w:eastAsia="Calibri"/>
        </w:rPr>
      </w:pPr>
      <w:r w:rsidRPr="00405656">
        <w:rPr>
          <w:rFonts w:eastAsia="Calibri"/>
        </w:rPr>
        <w:t></w:t>
      </w:r>
      <w:r w:rsidRPr="00405656">
        <w:rPr>
          <w:rFonts w:eastAsia="Calibri"/>
        </w:rPr>
        <w:tab/>
        <w:t>Podnošenje izvješća</w:t>
      </w:r>
    </w:p>
    <w:p w:rsidR="00C67E00" w:rsidRDefault="00C67E00" w:rsidP="008428C7">
      <w:pPr>
        <w:spacing w:line="276" w:lineRule="auto"/>
        <w:ind w:left="720"/>
        <w:contextualSpacing/>
        <w:rPr>
          <w:rFonts w:eastAsia="Calibri"/>
        </w:rPr>
      </w:pPr>
    </w:p>
    <w:p w:rsidR="005454B5" w:rsidRDefault="005454B5" w:rsidP="008428C7">
      <w:pPr>
        <w:spacing w:line="276" w:lineRule="auto"/>
        <w:ind w:left="720"/>
        <w:contextualSpacing/>
        <w:rPr>
          <w:rFonts w:eastAsia="Calibri"/>
        </w:rPr>
      </w:pPr>
    </w:p>
    <w:p w:rsidR="002A6E92" w:rsidRPr="00C67E00" w:rsidRDefault="00C67E00" w:rsidP="00C67E00">
      <w:pPr>
        <w:pStyle w:val="Odlomakpopisa"/>
        <w:numPr>
          <w:ilvl w:val="0"/>
          <w:numId w:val="2"/>
        </w:numPr>
        <w:spacing w:line="276" w:lineRule="auto"/>
        <w:rPr>
          <w:rFonts w:eastAsia="Calibri"/>
        </w:rPr>
      </w:pPr>
      <w:r w:rsidRPr="00C67E00">
        <w:rPr>
          <w:rFonts w:eastAsia="Calibri"/>
        </w:rPr>
        <w:t>OPĆI DIO</w:t>
      </w:r>
    </w:p>
    <w:p w:rsidR="00C67E00" w:rsidRDefault="00C67E00" w:rsidP="002A6E92">
      <w:pPr>
        <w:spacing w:line="276" w:lineRule="auto"/>
        <w:ind w:left="360"/>
        <w:rPr>
          <w:rFonts w:eastAsia="Calibri"/>
        </w:rPr>
      </w:pPr>
    </w:p>
    <w:p w:rsidR="00B8068D" w:rsidRDefault="00B8068D" w:rsidP="002A6E92">
      <w:pPr>
        <w:spacing w:line="276" w:lineRule="auto"/>
        <w:ind w:left="360"/>
        <w:rPr>
          <w:rFonts w:eastAsia="Calibri"/>
        </w:rPr>
      </w:pPr>
    </w:p>
    <w:p w:rsidR="00B8068D" w:rsidRDefault="00B8068D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>SAŽETAK RAČUNA PRIHODA I RASHODA</w:t>
      </w:r>
    </w:p>
    <w:p w:rsidR="00B8068D" w:rsidRDefault="00B8068D" w:rsidP="002A6E92">
      <w:pPr>
        <w:spacing w:line="276" w:lineRule="auto"/>
        <w:ind w:left="360"/>
        <w:rPr>
          <w:rFonts w:eastAsia="Calibri"/>
        </w:rPr>
      </w:pPr>
    </w:p>
    <w:p w:rsidR="00C67E00" w:rsidRDefault="00B8068D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>U</w:t>
      </w:r>
      <w:r w:rsidR="005454B5">
        <w:rPr>
          <w:rFonts w:eastAsia="Calibri"/>
        </w:rPr>
        <w:t xml:space="preserve"> </w:t>
      </w:r>
      <w:r>
        <w:rPr>
          <w:rFonts w:eastAsia="Calibri"/>
        </w:rPr>
        <w:t xml:space="preserve">  tablici sažetak računa prihoda i rashoda prikazano je izvršenje za 2022.godinu, plan za 2023. godinu i planirana </w:t>
      </w:r>
      <w:proofErr w:type="gramStart"/>
      <w:r>
        <w:rPr>
          <w:rFonts w:eastAsia="Calibri"/>
        </w:rPr>
        <w:t>sredstva  potrebna</w:t>
      </w:r>
      <w:proofErr w:type="gramEnd"/>
      <w:r>
        <w:rPr>
          <w:rFonts w:eastAsia="Calibri"/>
        </w:rPr>
        <w:t xml:space="preserve"> za  2024.godinu i projekcije plana za 2025. i 2026.</w:t>
      </w:r>
      <w:r w:rsidR="005454B5">
        <w:rPr>
          <w:rFonts w:eastAsia="Calibri"/>
        </w:rPr>
        <w:t xml:space="preserve"> </w:t>
      </w:r>
      <w:proofErr w:type="gramStart"/>
      <w:r>
        <w:rPr>
          <w:rFonts w:eastAsia="Calibri"/>
        </w:rPr>
        <w:t>godinu .</w:t>
      </w:r>
      <w:proofErr w:type="gramEnd"/>
    </w:p>
    <w:p w:rsidR="003F1A5D" w:rsidRDefault="003F1A5D" w:rsidP="002A6E92">
      <w:pPr>
        <w:spacing w:line="276" w:lineRule="auto"/>
        <w:ind w:left="360"/>
        <w:rPr>
          <w:rFonts w:eastAsia="Calibri"/>
        </w:rPr>
      </w:pPr>
    </w:p>
    <w:p w:rsidR="003F1A5D" w:rsidRDefault="00B8068D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 xml:space="preserve">U 2022.godini ostvareni su prihodi od </w:t>
      </w:r>
      <w:r w:rsidR="003F1A5D">
        <w:rPr>
          <w:rFonts w:eastAsia="Calibri"/>
        </w:rPr>
        <w:t xml:space="preserve">2.356.855,00 eura, a ostvareni </w:t>
      </w:r>
      <w:proofErr w:type="gramStart"/>
      <w:r w:rsidR="003F1A5D">
        <w:rPr>
          <w:rFonts w:eastAsia="Calibri"/>
        </w:rPr>
        <w:t>rashodi  ukupno</w:t>
      </w:r>
      <w:proofErr w:type="gramEnd"/>
      <w:r w:rsidR="003F1A5D">
        <w:rPr>
          <w:rFonts w:eastAsia="Calibri"/>
        </w:rPr>
        <w:t xml:space="preserve"> 2.366.722,00 eura. Ostvareni ukupni rashodi poslovanja u 2022.godni sadrže rashode poslovanja u iznosu od 2.333.542,00 eura i rashode za financijsku imovinu i otplate</w:t>
      </w:r>
    </w:p>
    <w:p w:rsidR="005F3D1A" w:rsidRDefault="005F3D1A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>z</w:t>
      </w:r>
      <w:r w:rsidR="003F1A5D">
        <w:rPr>
          <w:rFonts w:eastAsia="Calibri"/>
        </w:rPr>
        <w:t xml:space="preserve">ajmova u iznosu od 33.180,00 </w:t>
      </w:r>
      <w:proofErr w:type="gramStart"/>
      <w:r w:rsidR="003F1A5D">
        <w:rPr>
          <w:rFonts w:eastAsia="Calibri"/>
        </w:rPr>
        <w:t>eura.</w:t>
      </w:r>
      <w:r>
        <w:rPr>
          <w:rFonts w:eastAsia="Calibri"/>
        </w:rPr>
        <w:t>Rashod</w:t>
      </w:r>
      <w:proofErr w:type="gramEnd"/>
      <w:r>
        <w:rPr>
          <w:rFonts w:eastAsia="Calibri"/>
        </w:rPr>
        <w:t xml:space="preserve"> za otplatu zajma odnosi se na otplatu dugoročnog kredita podignutog 2019.godine  kod Privredne banke Zgreb i otplata traje deset godina.Razlika između prihoda i rashoda  6.096,00 eura  višak, a odnosi se na </w:t>
      </w:r>
    </w:p>
    <w:p w:rsidR="005F3D1A" w:rsidRDefault="005F3D1A" w:rsidP="002A6E92">
      <w:pPr>
        <w:spacing w:line="276" w:lineRule="auto"/>
        <w:ind w:left="360"/>
        <w:rPr>
          <w:rFonts w:eastAsia="Calibri"/>
        </w:rPr>
      </w:pPr>
      <w:proofErr w:type="gramStart"/>
      <w:r>
        <w:rPr>
          <w:rFonts w:eastAsia="Calibri"/>
        </w:rPr>
        <w:t>neutrošena  sredstva</w:t>
      </w:r>
      <w:proofErr w:type="gramEnd"/>
      <w:r>
        <w:rPr>
          <w:rFonts w:eastAsia="Calibri"/>
        </w:rPr>
        <w:t xml:space="preserve"> donacije , vlastita i sredstva po posebnim propisima.</w:t>
      </w:r>
    </w:p>
    <w:p w:rsidR="00AD0065" w:rsidRDefault="001F3DE4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 xml:space="preserve">Planirana prihodi </w:t>
      </w:r>
      <w:proofErr w:type="gramStart"/>
      <w:r w:rsidR="008A6A60">
        <w:rPr>
          <w:rFonts w:eastAsia="Calibri"/>
        </w:rPr>
        <w:t>i</w:t>
      </w:r>
      <w:r>
        <w:rPr>
          <w:rFonts w:eastAsia="Calibri"/>
        </w:rPr>
        <w:t xml:space="preserve">  rashodi</w:t>
      </w:r>
      <w:proofErr w:type="gramEnd"/>
      <w:r>
        <w:rPr>
          <w:rFonts w:eastAsia="Calibri"/>
        </w:rPr>
        <w:t xml:space="preserve"> </w:t>
      </w:r>
      <w:r w:rsidR="008A6A60">
        <w:rPr>
          <w:rFonts w:eastAsia="Calibri"/>
        </w:rPr>
        <w:t>u</w:t>
      </w:r>
      <w:r>
        <w:rPr>
          <w:rFonts w:eastAsia="Calibri"/>
        </w:rPr>
        <w:t xml:space="preserve"> 2023.godin</w:t>
      </w:r>
      <w:r w:rsidR="008A6A60">
        <w:rPr>
          <w:rFonts w:eastAsia="Calibri"/>
        </w:rPr>
        <w:t>i</w:t>
      </w:r>
      <w:r>
        <w:rPr>
          <w:rFonts w:eastAsia="Calibri"/>
        </w:rPr>
        <w:t xml:space="preserve"> iznose 2.837.138, 00 eura</w:t>
      </w:r>
      <w:r w:rsidR="008A6A60">
        <w:rPr>
          <w:rFonts w:eastAsia="Calibri"/>
        </w:rPr>
        <w:t xml:space="preserve">, a sadrže  preneseni višak iz 2023.godine i </w:t>
      </w:r>
      <w:r w:rsidR="0024795A">
        <w:rPr>
          <w:rFonts w:eastAsia="Calibri"/>
        </w:rPr>
        <w:t xml:space="preserve">sredstva za </w:t>
      </w:r>
      <w:r w:rsidR="008A6A60">
        <w:rPr>
          <w:rFonts w:eastAsia="Calibri"/>
        </w:rPr>
        <w:t>otplatu kredita podignutog  kod  Privredne ban</w:t>
      </w:r>
      <w:r w:rsidR="0024795A">
        <w:rPr>
          <w:rFonts w:eastAsia="Calibri"/>
        </w:rPr>
        <w:t>k</w:t>
      </w:r>
      <w:r w:rsidR="008A6A60">
        <w:rPr>
          <w:rFonts w:eastAsia="Calibri"/>
        </w:rPr>
        <w:t xml:space="preserve">e </w:t>
      </w:r>
      <w:r w:rsidR="0024795A">
        <w:rPr>
          <w:rFonts w:eastAsia="Calibri"/>
        </w:rPr>
        <w:t xml:space="preserve"> </w:t>
      </w:r>
      <w:r w:rsidR="008A6A60">
        <w:rPr>
          <w:rFonts w:eastAsia="Calibri"/>
        </w:rPr>
        <w:t>Zgareb.</w:t>
      </w:r>
      <w:r>
        <w:rPr>
          <w:rFonts w:eastAsia="Calibri"/>
        </w:rPr>
        <w:t xml:space="preserve"> </w:t>
      </w:r>
      <w:proofErr w:type="gramStart"/>
      <w:r w:rsidR="008A6A60">
        <w:rPr>
          <w:rFonts w:eastAsia="Calibri"/>
        </w:rPr>
        <w:t xml:space="preserve">Planirani </w:t>
      </w:r>
      <w:r w:rsidR="0024795A">
        <w:rPr>
          <w:rFonts w:eastAsia="Calibri"/>
        </w:rPr>
        <w:t xml:space="preserve"> </w:t>
      </w:r>
      <w:r w:rsidR="008A6A60">
        <w:rPr>
          <w:rFonts w:eastAsia="Calibri"/>
        </w:rPr>
        <w:t>prihodi</w:t>
      </w:r>
      <w:proofErr w:type="gramEnd"/>
      <w:r w:rsidR="008A6A60">
        <w:rPr>
          <w:rFonts w:eastAsia="Calibri"/>
        </w:rPr>
        <w:t xml:space="preserve"> i rashodi </w:t>
      </w:r>
      <w:r w:rsidR="0024795A">
        <w:rPr>
          <w:rFonts w:eastAsia="Calibri"/>
        </w:rPr>
        <w:t xml:space="preserve">za 2024.godinu </w:t>
      </w:r>
      <w:r w:rsidR="00350EDC">
        <w:rPr>
          <w:rFonts w:eastAsia="Calibri"/>
        </w:rPr>
        <w:t xml:space="preserve"> i projekcija za 2025 i 2026.</w:t>
      </w:r>
      <w:r w:rsidR="0024795A">
        <w:rPr>
          <w:rFonts w:eastAsia="Calibri"/>
        </w:rPr>
        <w:t xml:space="preserve"> </w:t>
      </w:r>
      <w:proofErr w:type="gramStart"/>
      <w:r w:rsidR="0024795A">
        <w:rPr>
          <w:rFonts w:eastAsia="Calibri"/>
        </w:rPr>
        <w:t>iznose  2</w:t>
      </w:r>
      <w:proofErr w:type="gramEnd"/>
      <w:r w:rsidR="0024795A">
        <w:rPr>
          <w:rFonts w:eastAsia="Calibri"/>
        </w:rPr>
        <w:t>.787.100,00 eura</w:t>
      </w:r>
      <w:r w:rsidR="00350EDC">
        <w:rPr>
          <w:rFonts w:eastAsia="Calibri"/>
        </w:rPr>
        <w:t>.</w:t>
      </w:r>
      <w:r w:rsidR="00EC75BF">
        <w:rPr>
          <w:rFonts w:eastAsia="Calibri"/>
        </w:rPr>
        <w:t>P</w:t>
      </w:r>
      <w:r w:rsidR="00350EDC">
        <w:rPr>
          <w:rFonts w:eastAsia="Calibri"/>
        </w:rPr>
        <w:t>rihodi i rashodi koji se financiraju  iz vastitih</w:t>
      </w:r>
      <w:r w:rsidR="00EC75BF">
        <w:rPr>
          <w:rFonts w:eastAsia="Calibri"/>
        </w:rPr>
        <w:t xml:space="preserve"> i</w:t>
      </w:r>
      <w:r w:rsidR="00350EDC">
        <w:rPr>
          <w:rFonts w:eastAsia="Calibri"/>
        </w:rPr>
        <w:t xml:space="preserve"> namjenskih prihoda </w:t>
      </w:r>
      <w:r w:rsidR="00EC75BF">
        <w:rPr>
          <w:rFonts w:eastAsia="Calibri"/>
        </w:rPr>
        <w:t>i</w:t>
      </w:r>
      <w:r w:rsidR="00350EDC">
        <w:rPr>
          <w:rFonts w:eastAsia="Calibri"/>
        </w:rPr>
        <w:t xml:space="preserve"> primitaka</w:t>
      </w:r>
      <w:r w:rsidR="00EC75BF">
        <w:rPr>
          <w:rFonts w:eastAsia="Calibri"/>
        </w:rPr>
        <w:t xml:space="preserve">  za 2024.planirani su kao i za 2023.godinu.Sredstva potrebna za osiguranje minimalnih financijskih standard za 2024.godinu planirana su za 3% povećanja u odnosu </w:t>
      </w:r>
    </w:p>
    <w:p w:rsidR="00EC75BF" w:rsidRDefault="00EC75BF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 xml:space="preserve">na 2023. </w:t>
      </w:r>
      <w:proofErr w:type="gramStart"/>
      <w:r>
        <w:rPr>
          <w:rFonts w:eastAsia="Calibri"/>
        </w:rPr>
        <w:t>godinu.Projekcija</w:t>
      </w:r>
      <w:proofErr w:type="gramEnd"/>
      <w:r>
        <w:rPr>
          <w:rFonts w:eastAsia="Calibri"/>
        </w:rPr>
        <w:t xml:space="preserve">  za 2025. i 2026.godinu planirana je bez povećanja.</w:t>
      </w:r>
    </w:p>
    <w:p w:rsidR="005454B5" w:rsidRDefault="005454B5" w:rsidP="002A6E92">
      <w:pPr>
        <w:spacing w:line="276" w:lineRule="auto"/>
        <w:ind w:left="360"/>
        <w:rPr>
          <w:rFonts w:eastAsia="Calibri"/>
        </w:rPr>
      </w:pPr>
    </w:p>
    <w:p w:rsidR="005454B5" w:rsidRDefault="005454B5" w:rsidP="002A6E92">
      <w:pPr>
        <w:spacing w:line="276" w:lineRule="auto"/>
        <w:ind w:left="360"/>
        <w:rPr>
          <w:rFonts w:eastAsia="Calibri"/>
        </w:rPr>
      </w:pPr>
    </w:p>
    <w:p w:rsidR="00EC75BF" w:rsidRDefault="00EC75BF" w:rsidP="002A6E92">
      <w:pPr>
        <w:spacing w:line="276" w:lineRule="auto"/>
        <w:ind w:left="360"/>
        <w:rPr>
          <w:rFonts w:eastAsia="Calibri"/>
        </w:rPr>
      </w:pPr>
    </w:p>
    <w:p w:rsidR="00EC75BF" w:rsidRDefault="001736E1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lastRenderedPageBreak/>
        <w:t>PRIHODI I RASHODI POSLOVANJA PREMA EKONOMSKOJ KLASIFIKACIJI</w:t>
      </w:r>
    </w:p>
    <w:p w:rsidR="001736E1" w:rsidRDefault="001736E1" w:rsidP="002A6E92">
      <w:pPr>
        <w:spacing w:line="276" w:lineRule="auto"/>
        <w:ind w:left="360"/>
        <w:rPr>
          <w:rFonts w:eastAsia="Calibri"/>
        </w:rPr>
      </w:pPr>
    </w:p>
    <w:p w:rsidR="001736E1" w:rsidRDefault="001736E1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>Tablica računa prihoda i rashoda poslovanja prema ekonomskoj klasifikaciji prikazuje</w:t>
      </w:r>
    </w:p>
    <w:p w:rsidR="001736E1" w:rsidRDefault="001736E1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 xml:space="preserve">izvršenje u </w:t>
      </w:r>
      <w:r w:rsidR="005454B5">
        <w:rPr>
          <w:rFonts w:eastAsia="Calibri"/>
        </w:rPr>
        <w:t xml:space="preserve"> </w:t>
      </w:r>
      <w:r>
        <w:rPr>
          <w:rFonts w:eastAsia="Calibri"/>
        </w:rPr>
        <w:t xml:space="preserve"> 2023.</w:t>
      </w:r>
      <w:r w:rsidR="005454B5">
        <w:rPr>
          <w:rFonts w:eastAsia="Calibri"/>
        </w:rPr>
        <w:t xml:space="preserve"> </w:t>
      </w:r>
      <w:r>
        <w:rPr>
          <w:rFonts w:eastAsia="Calibri"/>
        </w:rPr>
        <w:t>godini i planirana sredstva za 2023, 224.i projekcije za 2025.i 2026.godinu.</w:t>
      </w:r>
      <w:r w:rsidR="005454B5">
        <w:rPr>
          <w:rFonts w:eastAsia="Calibri"/>
        </w:rPr>
        <w:t xml:space="preserve"> </w:t>
      </w:r>
      <w:r>
        <w:rPr>
          <w:rFonts w:eastAsia="Calibri"/>
        </w:rPr>
        <w:t xml:space="preserve">Prema ekonomskoj </w:t>
      </w:r>
      <w:proofErr w:type="gramStart"/>
      <w:r>
        <w:rPr>
          <w:rFonts w:eastAsia="Calibri"/>
        </w:rPr>
        <w:t>klasifikaciji  izvršen</w:t>
      </w:r>
      <w:r w:rsidR="001246F0">
        <w:rPr>
          <w:rFonts w:eastAsia="Calibri"/>
        </w:rPr>
        <w:t>e</w:t>
      </w:r>
      <w:proofErr w:type="gramEnd"/>
      <w:r w:rsidR="001246F0">
        <w:rPr>
          <w:rFonts w:eastAsia="Calibri"/>
        </w:rPr>
        <w:t xml:space="preserve"> i</w:t>
      </w:r>
      <w:r>
        <w:rPr>
          <w:rFonts w:eastAsia="Calibri"/>
        </w:rPr>
        <w:t xml:space="preserve"> potrebn</w:t>
      </w:r>
      <w:r w:rsidR="001246F0">
        <w:rPr>
          <w:rFonts w:eastAsia="Calibri"/>
        </w:rPr>
        <w:t>e</w:t>
      </w:r>
      <w:r>
        <w:rPr>
          <w:rFonts w:eastAsia="Calibri"/>
        </w:rPr>
        <w:t xml:space="preserve"> prihod</w:t>
      </w:r>
      <w:r w:rsidR="001246F0">
        <w:rPr>
          <w:rFonts w:eastAsia="Calibri"/>
        </w:rPr>
        <w:t>e</w:t>
      </w:r>
      <w:r>
        <w:rPr>
          <w:rFonts w:eastAsia="Calibri"/>
        </w:rPr>
        <w:t xml:space="preserve"> škola IBM</w:t>
      </w:r>
      <w:r w:rsidR="00B5003B">
        <w:rPr>
          <w:rFonts w:eastAsia="Calibri"/>
        </w:rPr>
        <w:t xml:space="preserve"> </w:t>
      </w:r>
    </w:p>
    <w:p w:rsidR="001736E1" w:rsidRDefault="001736E1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 xml:space="preserve">ostvaruje od Pomoći </w:t>
      </w:r>
      <w:r w:rsidR="005454B5">
        <w:rPr>
          <w:rFonts w:eastAsia="Calibri"/>
        </w:rPr>
        <w:t xml:space="preserve">  od  </w:t>
      </w:r>
      <w:r>
        <w:rPr>
          <w:rFonts w:eastAsia="Calibri"/>
        </w:rPr>
        <w:t xml:space="preserve"> subjekta unutar općeg proračuna, Prihodi od upravnih i administratvnih </w:t>
      </w:r>
      <w:proofErr w:type="gramStart"/>
      <w:r>
        <w:rPr>
          <w:rFonts w:eastAsia="Calibri"/>
        </w:rPr>
        <w:t xml:space="preserve">pristojbi </w:t>
      </w:r>
      <w:r w:rsidR="001246F0">
        <w:rPr>
          <w:rFonts w:eastAsia="Calibri"/>
        </w:rPr>
        <w:t>,</w:t>
      </w:r>
      <w:proofErr w:type="gramEnd"/>
      <w:r w:rsidR="001246F0">
        <w:rPr>
          <w:rFonts w:eastAsia="Calibri"/>
        </w:rPr>
        <w:t xml:space="preserve"> pristojbi po posebnim propisima i naknade, Prihodi od prodaje proizvoda roba te pruženih usluga , prihodi od</w:t>
      </w:r>
      <w:r w:rsidR="005454B5">
        <w:rPr>
          <w:rFonts w:eastAsia="Calibri"/>
        </w:rPr>
        <w:t xml:space="preserve"> </w:t>
      </w:r>
      <w:r w:rsidR="001246F0">
        <w:rPr>
          <w:rFonts w:eastAsia="Calibri"/>
        </w:rPr>
        <w:t xml:space="preserve"> donacija , Prihodi iz nadležnog proračuna i od HZZO-a temeljem ugovorenih obveza , Prihodi od prodaje nefinancijske imovine.</w:t>
      </w:r>
    </w:p>
    <w:p w:rsidR="001246F0" w:rsidRDefault="001246F0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 xml:space="preserve">Izvršeni i </w:t>
      </w:r>
      <w:proofErr w:type="gramStart"/>
      <w:r>
        <w:rPr>
          <w:rFonts w:eastAsia="Calibri"/>
        </w:rPr>
        <w:t>planirani  rashodi</w:t>
      </w:r>
      <w:proofErr w:type="gramEnd"/>
      <w:r>
        <w:rPr>
          <w:rFonts w:eastAsia="Calibri"/>
        </w:rPr>
        <w:t xml:space="preserve">  troše se na : Rashode za zaposlene, Materijalne rashode , Financijekse rashode, Rashode za nabavu proizvedene dugotrajne imovinei Izdaci za otplatu glavnice primljenih kredita.</w:t>
      </w:r>
    </w:p>
    <w:p w:rsidR="001246F0" w:rsidRDefault="001246F0" w:rsidP="002A6E92">
      <w:pPr>
        <w:spacing w:line="276" w:lineRule="auto"/>
        <w:ind w:left="360"/>
        <w:rPr>
          <w:rFonts w:eastAsia="Calibri"/>
        </w:rPr>
      </w:pPr>
    </w:p>
    <w:p w:rsidR="001246F0" w:rsidRDefault="001246F0" w:rsidP="002A6E92">
      <w:pPr>
        <w:spacing w:line="276" w:lineRule="auto"/>
        <w:ind w:left="360"/>
        <w:rPr>
          <w:rFonts w:eastAsia="Calibri"/>
        </w:rPr>
      </w:pPr>
    </w:p>
    <w:p w:rsidR="00B5003B" w:rsidRDefault="00B5003B" w:rsidP="002A6E92">
      <w:pPr>
        <w:spacing w:line="276" w:lineRule="auto"/>
        <w:ind w:left="360"/>
        <w:rPr>
          <w:rFonts w:eastAsia="Calibri"/>
        </w:rPr>
      </w:pPr>
    </w:p>
    <w:p w:rsidR="00B5003B" w:rsidRDefault="00B5003B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>PRIHODI I RASHODI POSALOVANJA   PREMA   IZVORIMA   FINANCIRANJA</w:t>
      </w:r>
    </w:p>
    <w:p w:rsidR="00B5003B" w:rsidRDefault="00B5003B" w:rsidP="002A6E92">
      <w:pPr>
        <w:spacing w:line="276" w:lineRule="auto"/>
        <w:ind w:left="360"/>
        <w:rPr>
          <w:rFonts w:eastAsia="Calibri"/>
        </w:rPr>
      </w:pPr>
    </w:p>
    <w:p w:rsidR="00B5003B" w:rsidRDefault="00B5003B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 xml:space="preserve">U </w:t>
      </w:r>
      <w:proofErr w:type="gramStart"/>
      <w:r>
        <w:rPr>
          <w:rFonts w:eastAsia="Calibri"/>
        </w:rPr>
        <w:t>tablici  prihodi</w:t>
      </w:r>
      <w:proofErr w:type="gramEnd"/>
      <w:r>
        <w:rPr>
          <w:rFonts w:eastAsia="Calibri"/>
        </w:rPr>
        <w:t xml:space="preserve"> i rashodi prema izvorima financiranja prikazani su prihodi rashodi  posloavanja prema izvorima financiranja škole IBM Virovitica I to izvršenje za 2022.godinu ,planirana sredstva za 2023., 2024.godinu i projekcije za 2025.i 2026.godinu.</w:t>
      </w:r>
    </w:p>
    <w:p w:rsidR="00B5003B" w:rsidRDefault="00B5003B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 xml:space="preserve">Prihode </w:t>
      </w:r>
      <w:r w:rsidR="000C6937">
        <w:rPr>
          <w:rFonts w:eastAsia="Calibri"/>
        </w:rPr>
        <w:t>i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rashode  prema</w:t>
      </w:r>
      <w:proofErr w:type="gramEnd"/>
      <w:r>
        <w:rPr>
          <w:rFonts w:eastAsia="Calibri"/>
        </w:rPr>
        <w:t xml:space="preserve"> izvorima financiranja škola ostvaruje   </w:t>
      </w:r>
      <w:r w:rsidR="000C6937">
        <w:rPr>
          <w:rFonts w:eastAsia="Calibri"/>
        </w:rPr>
        <w:t>od: 1.1.Prihodi od poreza,</w:t>
      </w:r>
    </w:p>
    <w:p w:rsidR="000C6937" w:rsidRDefault="000C6937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>1.2 Porezni prihodi za decentralizirane funkcije, 1.7 Predfinanciranje Grad, 2.2. Vlastiti prihodi,5.5.</w:t>
      </w:r>
      <w:r w:rsidR="005454B5">
        <w:rPr>
          <w:rFonts w:eastAsia="Calibri"/>
        </w:rPr>
        <w:t xml:space="preserve"> </w:t>
      </w:r>
      <w:r>
        <w:rPr>
          <w:rFonts w:eastAsia="Calibri"/>
        </w:rPr>
        <w:t>Tekuće donacije, 3.6. Prihodi za posebne namjene, 4.1.</w:t>
      </w:r>
      <w:r w:rsidR="005454B5">
        <w:rPr>
          <w:rFonts w:eastAsia="Calibri"/>
        </w:rPr>
        <w:t xml:space="preserve"> </w:t>
      </w:r>
      <w:r>
        <w:rPr>
          <w:rFonts w:eastAsia="Calibri"/>
        </w:rPr>
        <w:t xml:space="preserve">Pomoći izravnanja za decentralizirane funkcije, 4.5 Pomoći za proračunske korisnike, 4.7 Pomoći iz </w:t>
      </w:r>
      <w:proofErr w:type="gramStart"/>
      <w:r>
        <w:rPr>
          <w:rFonts w:eastAsia="Calibri"/>
        </w:rPr>
        <w:t>međ.organizacija</w:t>
      </w:r>
      <w:proofErr w:type="gramEnd"/>
      <w:r>
        <w:rPr>
          <w:rFonts w:eastAsia="Calibri"/>
        </w:rPr>
        <w:t>, inst.i tijela EU za proračunske koorisnike, 6.3 Prihodi mod prodaje ili zamjene nef.imovine</w:t>
      </w:r>
    </w:p>
    <w:p w:rsidR="000C6937" w:rsidRDefault="000C6937" w:rsidP="002A6E92">
      <w:pPr>
        <w:spacing w:line="276" w:lineRule="auto"/>
        <w:ind w:left="360"/>
        <w:rPr>
          <w:rFonts w:eastAsia="Calibri"/>
        </w:rPr>
      </w:pPr>
    </w:p>
    <w:p w:rsidR="00B5003B" w:rsidRDefault="000C6937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>RASHODI PREMA FUNKCIJSKOJ KLASIFIKACIJI</w:t>
      </w:r>
    </w:p>
    <w:p w:rsidR="000C6937" w:rsidRDefault="000C6937" w:rsidP="002A6E92">
      <w:pPr>
        <w:spacing w:line="276" w:lineRule="auto"/>
        <w:ind w:left="360"/>
        <w:rPr>
          <w:rFonts w:eastAsia="Calibri"/>
        </w:rPr>
      </w:pPr>
    </w:p>
    <w:p w:rsidR="0076205C" w:rsidRDefault="000C6937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>Tablica prikazuje izvršenje za 2022.godinu planirana sredstva za 2023.</w:t>
      </w:r>
      <w:r w:rsidR="0076205C">
        <w:rPr>
          <w:rFonts w:eastAsia="Calibri"/>
        </w:rPr>
        <w:t>i</w:t>
      </w:r>
      <w:r>
        <w:rPr>
          <w:rFonts w:eastAsia="Calibri"/>
        </w:rPr>
        <w:t xml:space="preserve"> 2024.godinu </w:t>
      </w:r>
      <w:r w:rsidR="0076205C">
        <w:rPr>
          <w:rFonts w:eastAsia="Calibri"/>
        </w:rPr>
        <w:t>i</w:t>
      </w:r>
      <w:r>
        <w:rPr>
          <w:rFonts w:eastAsia="Calibri"/>
        </w:rPr>
        <w:t xml:space="preserve"> projekcije za 2025. I 2026.godinu</w:t>
      </w:r>
      <w:r w:rsidR="0076205C">
        <w:rPr>
          <w:rFonts w:eastAsia="Calibri"/>
        </w:rPr>
        <w:t>.</w:t>
      </w:r>
      <w:r w:rsidR="00C67584">
        <w:rPr>
          <w:rFonts w:eastAsia="Calibri"/>
        </w:rPr>
        <w:t xml:space="preserve"> </w:t>
      </w:r>
      <w:r w:rsidR="0076205C">
        <w:rPr>
          <w:rFonts w:eastAsia="Calibri"/>
        </w:rPr>
        <w:t xml:space="preserve">Prema funkcijkoj </w:t>
      </w:r>
      <w:proofErr w:type="gramStart"/>
      <w:r w:rsidR="0076205C">
        <w:rPr>
          <w:rFonts w:eastAsia="Calibri"/>
        </w:rPr>
        <w:t>klasifikaciji  rashodi</w:t>
      </w:r>
      <w:proofErr w:type="gramEnd"/>
      <w:r w:rsidR="0076205C">
        <w:rPr>
          <w:rFonts w:eastAsia="Calibri"/>
        </w:rPr>
        <w:t xml:space="preserve"> škole IBM odnose  se na Osnovno obrazovanje.</w:t>
      </w:r>
    </w:p>
    <w:p w:rsidR="006C783A" w:rsidRDefault="006C783A" w:rsidP="002A6E92">
      <w:pPr>
        <w:spacing w:line="276" w:lineRule="auto"/>
        <w:ind w:left="360"/>
        <w:rPr>
          <w:rFonts w:eastAsia="Calibri"/>
        </w:rPr>
      </w:pPr>
    </w:p>
    <w:p w:rsidR="00B5003B" w:rsidRDefault="006C783A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 xml:space="preserve">RAČUN FINANCIRANJA   PREMA  </w:t>
      </w:r>
      <w:r w:rsidR="00C67584">
        <w:rPr>
          <w:rFonts w:eastAsia="Calibri"/>
        </w:rPr>
        <w:t xml:space="preserve"> </w:t>
      </w:r>
      <w:r>
        <w:rPr>
          <w:rFonts w:eastAsia="Calibri"/>
        </w:rPr>
        <w:t>EKONOMSKOJ KLASIFIKACIJI</w:t>
      </w:r>
    </w:p>
    <w:p w:rsidR="006C783A" w:rsidRDefault="006C783A" w:rsidP="002A6E92">
      <w:pPr>
        <w:spacing w:line="276" w:lineRule="auto"/>
        <w:ind w:left="360"/>
        <w:rPr>
          <w:rFonts w:eastAsia="Calibri"/>
        </w:rPr>
      </w:pPr>
    </w:p>
    <w:p w:rsidR="006C783A" w:rsidRDefault="006C783A" w:rsidP="002A6E92">
      <w:pPr>
        <w:spacing w:line="276" w:lineRule="auto"/>
        <w:ind w:left="360"/>
        <w:rPr>
          <w:rFonts w:eastAsia="Calibri"/>
        </w:rPr>
      </w:pPr>
      <w:proofErr w:type="gramStart"/>
      <w:r>
        <w:rPr>
          <w:rFonts w:eastAsia="Calibri"/>
        </w:rPr>
        <w:t>Tablica  prikazuje</w:t>
      </w:r>
      <w:proofErr w:type="gramEnd"/>
      <w:r>
        <w:rPr>
          <w:rFonts w:eastAsia="Calibri"/>
        </w:rPr>
        <w:t xml:space="preserve"> izvršenje za 2023.godini  planirana sredstva za 2024.godinu  i  projekcije za 2025. </w:t>
      </w:r>
      <w:proofErr w:type="gramStart"/>
      <w:r w:rsidR="00C67584">
        <w:rPr>
          <w:rFonts w:eastAsia="Calibri"/>
        </w:rPr>
        <w:t>i</w:t>
      </w:r>
      <w:r>
        <w:rPr>
          <w:rFonts w:eastAsia="Calibri"/>
        </w:rPr>
        <w:t xml:space="preserve">  2026</w:t>
      </w:r>
      <w:proofErr w:type="gramEnd"/>
      <w:r w:rsidR="00C67584">
        <w:rPr>
          <w:rFonts w:eastAsia="Calibri"/>
        </w:rPr>
        <w:t xml:space="preserve"> </w:t>
      </w:r>
      <w:r>
        <w:rPr>
          <w:rFonts w:eastAsia="Calibri"/>
        </w:rPr>
        <w:t>.godinu.U tablici su prikazani Izdaci za financijsku imovinu i otplatu zajmova.</w:t>
      </w:r>
    </w:p>
    <w:p w:rsidR="006C783A" w:rsidRDefault="006C783A" w:rsidP="002A6E92">
      <w:pPr>
        <w:spacing w:line="276" w:lineRule="auto"/>
        <w:ind w:left="360"/>
        <w:rPr>
          <w:rFonts w:eastAsia="Calibri"/>
        </w:rPr>
      </w:pPr>
    </w:p>
    <w:p w:rsidR="006C783A" w:rsidRDefault="006C783A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>RAČUN FINANCIRANJA PREMA IZVORIMA FINANCIRANJA</w:t>
      </w:r>
    </w:p>
    <w:p w:rsidR="006C783A" w:rsidRDefault="006C783A" w:rsidP="002A6E92">
      <w:pPr>
        <w:spacing w:line="276" w:lineRule="auto"/>
        <w:ind w:left="360"/>
        <w:rPr>
          <w:rFonts w:eastAsia="Calibri"/>
        </w:rPr>
      </w:pPr>
    </w:p>
    <w:p w:rsidR="00C67584" w:rsidRDefault="006C783A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 xml:space="preserve">U </w:t>
      </w:r>
      <w:r w:rsidR="00C67584">
        <w:rPr>
          <w:rFonts w:eastAsia="Calibri"/>
        </w:rPr>
        <w:t xml:space="preserve">tablici račun financiranja prema izvorima </w:t>
      </w:r>
      <w:proofErr w:type="gramStart"/>
      <w:r w:rsidR="00C67584">
        <w:rPr>
          <w:rFonts w:eastAsia="Calibri"/>
        </w:rPr>
        <w:t>financiranja  prikazana</w:t>
      </w:r>
      <w:proofErr w:type="gramEnd"/>
      <w:r w:rsidR="00C67584">
        <w:rPr>
          <w:rFonts w:eastAsia="Calibri"/>
        </w:rPr>
        <w:t xml:space="preserve"> su sredstva </w:t>
      </w:r>
      <w:bookmarkStart w:id="0" w:name="_GoBack"/>
      <w:bookmarkEnd w:id="0"/>
    </w:p>
    <w:p w:rsidR="006C783A" w:rsidRDefault="00C67584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 xml:space="preserve">Opći prihodi I primici u izvršenju za 2022.godinu i plan za </w:t>
      </w:r>
      <w:proofErr w:type="gramStart"/>
      <w:r>
        <w:rPr>
          <w:rFonts w:eastAsia="Calibri"/>
        </w:rPr>
        <w:t>2024.godinu  projekcije</w:t>
      </w:r>
      <w:proofErr w:type="gramEnd"/>
      <w:r>
        <w:rPr>
          <w:rFonts w:eastAsia="Calibri"/>
        </w:rPr>
        <w:t xml:space="preserve"> za 2025. I 2026.godinu.</w:t>
      </w:r>
    </w:p>
    <w:p w:rsidR="006C783A" w:rsidRDefault="006C783A" w:rsidP="002A6E92">
      <w:pPr>
        <w:spacing w:line="276" w:lineRule="auto"/>
        <w:ind w:left="360"/>
        <w:rPr>
          <w:rFonts w:eastAsia="Calibri"/>
        </w:rPr>
      </w:pPr>
    </w:p>
    <w:p w:rsidR="00B5003B" w:rsidRDefault="0076205C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>II POSEBNI DIO</w:t>
      </w:r>
    </w:p>
    <w:p w:rsidR="00B5003B" w:rsidRDefault="0076205C" w:rsidP="002A6E92">
      <w:pPr>
        <w:spacing w:line="276" w:lineRule="auto"/>
        <w:ind w:left="360"/>
        <w:rPr>
          <w:rFonts w:eastAsia="Calibri"/>
        </w:rPr>
      </w:pPr>
      <w:r>
        <w:rPr>
          <w:rFonts w:eastAsia="Calibri"/>
        </w:rPr>
        <w:t xml:space="preserve">OBRAZLOŽENJE FINANCIJSKOG PLANA OSNOVNE ŠKOLE IVANE BRLIĆ MAŽURANIĆ VIROVITICA ZA 2024.GODINU I PROIJEKCIJE ZA 2025. I 2026.GODINU PREMA PROGRAMIMA, CILJEVIMA </w:t>
      </w:r>
      <w:r w:rsidR="005454B5">
        <w:rPr>
          <w:rFonts w:eastAsia="Calibri"/>
        </w:rPr>
        <w:t xml:space="preserve"> </w:t>
      </w:r>
      <w:r>
        <w:rPr>
          <w:rFonts w:eastAsia="Calibri"/>
        </w:rPr>
        <w:t xml:space="preserve"> I  </w:t>
      </w:r>
      <w:r w:rsidR="005454B5">
        <w:rPr>
          <w:rFonts w:eastAsia="Calibri"/>
        </w:rPr>
        <w:t xml:space="preserve"> </w:t>
      </w:r>
      <w:r>
        <w:rPr>
          <w:rFonts w:eastAsia="Calibri"/>
        </w:rPr>
        <w:t>PROCIJENI</w:t>
      </w:r>
      <w:r w:rsidR="005454B5">
        <w:rPr>
          <w:rFonts w:eastAsia="Calibri"/>
        </w:rPr>
        <w:t xml:space="preserve"> </w:t>
      </w:r>
      <w:r>
        <w:rPr>
          <w:rFonts w:eastAsia="Calibri"/>
        </w:rPr>
        <w:t xml:space="preserve">  POTREBNIH SREDSTAVA </w:t>
      </w:r>
    </w:p>
    <w:p w:rsidR="0076205C" w:rsidRDefault="0076205C" w:rsidP="002A6E92">
      <w:pPr>
        <w:spacing w:line="276" w:lineRule="auto"/>
        <w:ind w:left="360"/>
        <w:rPr>
          <w:rFonts w:eastAsia="Calibri"/>
        </w:rPr>
      </w:pPr>
    </w:p>
    <w:p w:rsidR="0076205C" w:rsidRDefault="0076205C" w:rsidP="002A6E92">
      <w:pPr>
        <w:spacing w:line="276" w:lineRule="auto"/>
        <w:ind w:left="360"/>
        <w:rPr>
          <w:rFonts w:eastAsia="Calibri"/>
        </w:rPr>
      </w:pPr>
    </w:p>
    <w:p w:rsidR="0076205C" w:rsidRDefault="0076205C" w:rsidP="002A6E92">
      <w:pPr>
        <w:spacing w:line="276" w:lineRule="auto"/>
        <w:ind w:left="360"/>
        <w:rPr>
          <w:rFonts w:eastAsia="Calibri"/>
        </w:rPr>
      </w:pPr>
    </w:p>
    <w:p w:rsidR="001736E1" w:rsidRDefault="001736E1" w:rsidP="002A6E92">
      <w:pPr>
        <w:spacing w:line="276" w:lineRule="auto"/>
        <w:ind w:left="360"/>
        <w:rPr>
          <w:rFonts w:eastAsia="Calibri"/>
        </w:rPr>
      </w:pPr>
    </w:p>
    <w:p w:rsidR="002A6E92" w:rsidRDefault="002A6E92" w:rsidP="002A6E92">
      <w:pPr>
        <w:spacing w:line="276" w:lineRule="auto"/>
        <w:ind w:left="360"/>
        <w:rPr>
          <w:rFonts w:eastAsia="Calibri"/>
        </w:rPr>
      </w:pPr>
      <w:r w:rsidRPr="00405656">
        <w:rPr>
          <w:rFonts w:eastAsia="Calibri"/>
        </w:rPr>
        <w:t xml:space="preserve">Za ostvarivanje </w:t>
      </w:r>
      <w:proofErr w:type="gramStart"/>
      <w:r w:rsidRPr="00405656">
        <w:rPr>
          <w:rFonts w:eastAsia="Calibri"/>
        </w:rPr>
        <w:t>djelatnosti  odgoja</w:t>
      </w:r>
      <w:proofErr w:type="gramEnd"/>
      <w:r w:rsidRPr="00405656">
        <w:rPr>
          <w:rFonts w:eastAsia="Calibri"/>
        </w:rPr>
        <w:t xml:space="preserve"> i osnovnoškolskog obrazovanja učenika u razdoblju 202</w:t>
      </w:r>
      <w:r w:rsidR="0076205C">
        <w:rPr>
          <w:rFonts w:eastAsia="Calibri"/>
        </w:rPr>
        <w:t>3</w:t>
      </w:r>
      <w:r w:rsidRPr="00405656">
        <w:rPr>
          <w:rFonts w:eastAsia="Calibri"/>
        </w:rPr>
        <w:t>. do 202</w:t>
      </w:r>
      <w:r w:rsidR="0076205C">
        <w:rPr>
          <w:rFonts w:eastAsia="Calibri"/>
        </w:rPr>
        <w:t>6</w:t>
      </w:r>
      <w:r w:rsidRPr="00405656">
        <w:rPr>
          <w:rFonts w:eastAsia="Calibri"/>
        </w:rPr>
        <w:t>.godine planirana su sredstva za slijedeće programe:</w:t>
      </w:r>
    </w:p>
    <w:p w:rsidR="0076205C" w:rsidRPr="00405656" w:rsidRDefault="0076205C" w:rsidP="002A6E92">
      <w:pPr>
        <w:spacing w:line="276" w:lineRule="auto"/>
        <w:ind w:left="360"/>
        <w:rPr>
          <w:rFonts w:eastAsia="Calibri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716"/>
        <w:gridCol w:w="1536"/>
        <w:gridCol w:w="1656"/>
        <w:gridCol w:w="1476"/>
      </w:tblGrid>
      <w:tr w:rsidR="002A6E92" w:rsidRPr="00405656" w:rsidTr="0024795A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Proračun </w:t>
            </w:r>
          </w:p>
          <w:p w:rsidR="002A6E92" w:rsidRPr="00405656" w:rsidRDefault="002A6E92" w:rsidP="0076205C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76205C">
              <w:rPr>
                <w:color w:val="000000"/>
                <w:lang w:eastAsia="hr-HR"/>
              </w:rPr>
              <w:t>3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Plan</w:t>
            </w:r>
          </w:p>
          <w:p w:rsidR="002A6E92" w:rsidRPr="00405656" w:rsidRDefault="002A6E92" w:rsidP="006E66E5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6E66E5">
              <w:rPr>
                <w:color w:val="000000"/>
                <w:lang w:eastAsia="hr-HR"/>
              </w:rPr>
              <w:t>4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92" w:rsidRPr="00405656" w:rsidRDefault="002A6E92" w:rsidP="006E66E5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Projekcija 202</w:t>
            </w:r>
            <w:r w:rsidR="006E66E5">
              <w:rPr>
                <w:color w:val="000000"/>
                <w:lang w:eastAsia="hr-HR"/>
              </w:rPr>
              <w:t>5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6E66E5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Projekcija 202</w:t>
            </w:r>
            <w:r w:rsidR="006E66E5">
              <w:rPr>
                <w:color w:val="000000"/>
                <w:lang w:eastAsia="hr-HR"/>
              </w:rPr>
              <w:t>6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</w:tr>
      <w:tr w:rsidR="002A6E92" w:rsidRPr="00405656" w:rsidTr="0024795A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Program 1007 OSNOVNO ŠKOLSTVO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6E66E5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  <w:r w:rsidR="006E66E5">
              <w:rPr>
                <w:color w:val="000000"/>
                <w:lang w:eastAsia="hr-HR"/>
              </w:rPr>
              <w:t>2.785.938,00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6E66E5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  <w:r w:rsidR="006E66E5">
              <w:rPr>
                <w:color w:val="000000"/>
                <w:lang w:eastAsia="hr-HR"/>
              </w:rPr>
              <w:t>2.759.100,00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6E66E5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  <w:r w:rsidR="006E66E5">
              <w:rPr>
                <w:color w:val="000000"/>
                <w:lang w:eastAsia="hr-HR"/>
              </w:rPr>
              <w:t>2.759.100,00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6E66E5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2.759.100,00</w:t>
            </w:r>
          </w:p>
        </w:tc>
      </w:tr>
      <w:tr w:rsidR="002A6E92" w:rsidRPr="00405656" w:rsidTr="0024795A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Program 1008 ERASMUS +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6E66E5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6E66E5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  <w:r w:rsidR="006E66E5">
              <w:rPr>
                <w:color w:val="000000"/>
                <w:lang w:eastAsia="hr-HR"/>
              </w:rPr>
              <w:t>0</w:t>
            </w:r>
            <w:r w:rsidRPr="00405656">
              <w:rPr>
                <w:color w:val="000000"/>
                <w:lang w:eastAsia="hr-HR"/>
              </w:rPr>
              <w:t xml:space="preserve">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</w:p>
        </w:tc>
      </w:tr>
      <w:tr w:rsidR="002A6E92" w:rsidRPr="00405656" w:rsidTr="0024795A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Program 1009 POMAGAČI U NASTAVI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6E66E5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27.200,00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6E66E5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      </w:t>
            </w:r>
            <w:r w:rsidR="006E66E5">
              <w:rPr>
                <w:color w:val="000000"/>
                <w:lang w:eastAsia="hr-HR"/>
              </w:rPr>
              <w:t>28.000,00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6E66E5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        </w:t>
            </w:r>
            <w:r w:rsidR="006E66E5">
              <w:rPr>
                <w:color w:val="000000"/>
                <w:lang w:eastAsia="hr-HR"/>
              </w:rPr>
              <w:t>28.000,00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2A6E92" w:rsidP="006E66E5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       </w:t>
            </w:r>
            <w:r w:rsidR="006E66E5">
              <w:rPr>
                <w:color w:val="000000"/>
                <w:lang w:eastAsia="hr-HR"/>
              </w:rPr>
              <w:t>282.000,00</w:t>
            </w:r>
            <w:r w:rsidRPr="00405656">
              <w:rPr>
                <w:color w:val="000000"/>
                <w:lang w:eastAsia="hr-HR"/>
              </w:rPr>
              <w:t> </w:t>
            </w:r>
          </w:p>
        </w:tc>
      </w:tr>
      <w:tr w:rsidR="002A6E92" w:rsidRPr="00405656" w:rsidTr="0024795A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Program 10011 OSIGURANJE ŠKOLSKE PREHRANE ZA DJECU U RIZIKU OD SIROMAŠTVA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6E66E5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         </w:t>
            </w:r>
            <w:r w:rsidR="006E66E5">
              <w:rPr>
                <w:color w:val="000000"/>
                <w:lang w:eastAsia="hr-HR"/>
              </w:rPr>
              <w:t>24.000,00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</w:p>
        </w:tc>
      </w:tr>
      <w:tr w:rsidR="002A6E92" w:rsidRPr="00405656" w:rsidTr="0024795A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6E66E5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  </w:t>
            </w:r>
            <w:r w:rsidR="006E66E5">
              <w:rPr>
                <w:color w:val="000000"/>
                <w:lang w:eastAsia="hr-HR"/>
              </w:rPr>
              <w:t>2.837.138,00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6E66E5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 </w:t>
            </w:r>
            <w:r w:rsidR="006E66E5">
              <w:rPr>
                <w:color w:val="000000"/>
                <w:lang w:eastAsia="hr-HR"/>
              </w:rPr>
              <w:t>2.787.100,00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6E66E5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2.787.100,00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6E66E5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2.787.100,00</w:t>
            </w:r>
          </w:p>
        </w:tc>
      </w:tr>
    </w:tbl>
    <w:p w:rsidR="002A6E92" w:rsidRPr="00405656" w:rsidRDefault="002A6E92" w:rsidP="002A6E92">
      <w:pPr>
        <w:spacing w:line="276" w:lineRule="auto"/>
        <w:rPr>
          <w:rFonts w:eastAsia="Calibri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2A6E92" w:rsidRPr="00405656" w:rsidTr="0024795A">
        <w:trPr>
          <w:trHeight w:val="26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E92" w:rsidRPr="00405656" w:rsidRDefault="002A6E92" w:rsidP="0024795A">
            <w:pPr>
              <w:rPr>
                <w:b/>
                <w:bCs/>
                <w:i/>
                <w:iCs/>
                <w:lang w:eastAsia="hr-HR"/>
              </w:rPr>
            </w:pPr>
            <w:r w:rsidRPr="00405656">
              <w:rPr>
                <w:b/>
                <w:bCs/>
                <w:i/>
                <w:iCs/>
                <w:lang w:eastAsia="hr-HR"/>
              </w:rPr>
              <w:t xml:space="preserve">Program 1007 osnovno školstvo </w:t>
            </w:r>
          </w:p>
        </w:tc>
      </w:tr>
      <w:tr w:rsidR="002A6E92" w:rsidRPr="00405656" w:rsidTr="0024795A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b/>
                <w:color w:val="000000"/>
                <w:lang w:eastAsia="hr-HR"/>
              </w:rPr>
              <w:t xml:space="preserve">Ovim Programom osiguravaju se sredstva za financiranje minimalnog financijskog standarda javnih </w:t>
            </w:r>
            <w:proofErr w:type="gramStart"/>
            <w:r w:rsidRPr="00405656">
              <w:rPr>
                <w:b/>
                <w:color w:val="000000"/>
                <w:lang w:eastAsia="hr-HR"/>
              </w:rPr>
              <w:t>potreba  škole</w:t>
            </w:r>
            <w:proofErr w:type="gramEnd"/>
            <w:r w:rsidRPr="00405656">
              <w:rPr>
                <w:b/>
                <w:color w:val="000000"/>
                <w:lang w:eastAsia="hr-HR"/>
              </w:rPr>
              <w:t xml:space="preserve">. Osiguravaju se sredstva za materijalne rashode, financijske rashode, materijal, dijelove i </w:t>
            </w:r>
            <w:proofErr w:type="gramStart"/>
            <w:r w:rsidRPr="00405656">
              <w:rPr>
                <w:b/>
                <w:color w:val="000000"/>
                <w:lang w:eastAsia="hr-HR"/>
              </w:rPr>
              <w:t>usluge  za</w:t>
            </w:r>
            <w:proofErr w:type="gramEnd"/>
            <w:r w:rsidRPr="00405656">
              <w:rPr>
                <w:b/>
                <w:color w:val="000000"/>
                <w:lang w:eastAsia="hr-HR"/>
              </w:rPr>
              <w:t xml:space="preserve"> tekuće održavanje i rashode za nabavu dugotrajne imovine.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</w:tr>
      <w:tr w:rsidR="002A6E92" w:rsidRPr="00405656" w:rsidTr="0024795A">
        <w:trPr>
          <w:trHeight w:val="459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E92" w:rsidRPr="00405656" w:rsidRDefault="002A6E92" w:rsidP="0024795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hr-HR"/>
              </w:rPr>
            </w:pPr>
          </w:p>
        </w:tc>
      </w:tr>
      <w:tr w:rsidR="002A6E92" w:rsidRPr="00405656" w:rsidTr="0024795A">
        <w:trPr>
          <w:trHeight w:val="584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b/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color w:val="000000"/>
                <w:lang w:eastAsia="hr-HR"/>
              </w:rPr>
            </w:pPr>
            <w:r w:rsidRPr="00405656">
              <w:rPr>
                <w:rFonts w:eastAsia="Calibri"/>
                <w:i/>
              </w:rPr>
              <w:t>Cilj Programa je osiguranje minimalnog financijskog standarda nužnih za realizaciju plana i programa osnovnoškolskog obrazovanja.</w:t>
            </w:r>
          </w:p>
        </w:tc>
      </w:tr>
    </w:tbl>
    <w:p w:rsidR="002A6E92" w:rsidRPr="00405656" w:rsidRDefault="002A6E92" w:rsidP="002A6E92">
      <w:pPr>
        <w:rPr>
          <w:color w:val="000000"/>
          <w:lang w:eastAsia="hr-HR"/>
        </w:rPr>
      </w:pPr>
    </w:p>
    <w:p w:rsidR="002A6E92" w:rsidRPr="00405656" w:rsidRDefault="002A6E92" w:rsidP="002A6E92">
      <w:pPr>
        <w:rPr>
          <w:color w:val="000000"/>
          <w:lang w:eastAsia="hr-HR"/>
        </w:rPr>
      </w:pPr>
    </w:p>
    <w:p w:rsidR="002A6E92" w:rsidRPr="00405656" w:rsidRDefault="002A6E92" w:rsidP="002A6E92">
      <w:pPr>
        <w:spacing w:line="276" w:lineRule="auto"/>
        <w:rPr>
          <w:rFonts w:eastAsia="Calibri"/>
        </w:rPr>
      </w:pPr>
      <w:proofErr w:type="gramStart"/>
      <w:r w:rsidRPr="00405656">
        <w:rPr>
          <w:rFonts w:eastAsia="Calibri"/>
        </w:rPr>
        <w:t>Za  potrebe</w:t>
      </w:r>
      <w:proofErr w:type="gramEnd"/>
      <w:r w:rsidRPr="00405656">
        <w:rPr>
          <w:rFonts w:eastAsia="Calibri"/>
        </w:rPr>
        <w:t xml:space="preserve"> izvršenja aktivnosti ovog Programa za razdoblje 202</w:t>
      </w:r>
      <w:r w:rsidR="006E66E5">
        <w:rPr>
          <w:rFonts w:eastAsia="Calibri"/>
        </w:rPr>
        <w:t>3</w:t>
      </w:r>
      <w:r w:rsidRPr="00405656">
        <w:rPr>
          <w:rFonts w:eastAsia="Calibri"/>
        </w:rPr>
        <w:t>.-202</w:t>
      </w:r>
      <w:r w:rsidR="006E66E5">
        <w:rPr>
          <w:rFonts w:eastAsia="Calibri"/>
        </w:rPr>
        <w:t>6</w:t>
      </w:r>
      <w:r w:rsidRPr="00405656">
        <w:rPr>
          <w:rFonts w:eastAsia="Calibri"/>
        </w:rPr>
        <w:t>.godine planirano je:</w:t>
      </w:r>
    </w:p>
    <w:p w:rsidR="002A6E92" w:rsidRPr="00405656" w:rsidRDefault="002A6E92" w:rsidP="002A6E92">
      <w:pPr>
        <w:spacing w:line="276" w:lineRule="auto"/>
        <w:rPr>
          <w:rFonts w:eastAsia="Calibri"/>
          <w:b/>
        </w:rPr>
      </w:pPr>
    </w:p>
    <w:tbl>
      <w:tblPr>
        <w:tblW w:w="9293" w:type="dxa"/>
        <w:tblInd w:w="93" w:type="dxa"/>
        <w:tblLook w:val="06A0" w:firstRow="1" w:lastRow="0" w:firstColumn="1" w:lastColumn="0" w:noHBand="1" w:noVBand="1"/>
      </w:tblPr>
      <w:tblGrid>
        <w:gridCol w:w="3716"/>
        <w:gridCol w:w="1476"/>
        <w:gridCol w:w="1476"/>
        <w:gridCol w:w="1476"/>
        <w:gridCol w:w="1536"/>
      </w:tblGrid>
      <w:tr w:rsidR="002A6E92" w:rsidRPr="00405656" w:rsidTr="0024795A">
        <w:trPr>
          <w:trHeight w:val="48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Naziv aktivnosti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Proračun </w:t>
            </w:r>
          </w:p>
          <w:p w:rsidR="002A6E92" w:rsidRPr="00405656" w:rsidRDefault="002A6E92" w:rsidP="006E66E5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6E66E5">
              <w:rPr>
                <w:color w:val="000000"/>
                <w:lang w:eastAsia="hr-HR"/>
              </w:rPr>
              <w:t>3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Plan</w:t>
            </w:r>
          </w:p>
          <w:p w:rsidR="002A6E92" w:rsidRPr="00405656" w:rsidRDefault="002A6E92" w:rsidP="006E66E5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6E66E5">
              <w:rPr>
                <w:color w:val="000000"/>
                <w:lang w:eastAsia="hr-HR"/>
              </w:rPr>
              <w:t>4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E5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Projekcija</w:t>
            </w:r>
          </w:p>
          <w:p w:rsidR="002A6E92" w:rsidRPr="00405656" w:rsidRDefault="002A6E92" w:rsidP="006E66E5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 202</w:t>
            </w:r>
            <w:r w:rsidR="006E66E5">
              <w:rPr>
                <w:color w:val="000000"/>
                <w:lang w:eastAsia="hr-HR"/>
              </w:rPr>
              <w:t>5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6E66E5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Projekcija 202</w:t>
            </w:r>
            <w:r w:rsidR="006E66E5">
              <w:rPr>
                <w:color w:val="000000"/>
                <w:lang w:eastAsia="hr-HR"/>
              </w:rPr>
              <w:t>6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</w:tr>
      <w:tr w:rsidR="002A6E92" w:rsidRPr="00405656" w:rsidTr="0024795A">
        <w:trPr>
          <w:trHeight w:val="243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Materijalni i financijski rashodi do minimalnog  standarda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Default="00485618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229.000,00</w:t>
            </w:r>
          </w:p>
          <w:p w:rsidR="00485618" w:rsidRPr="00405656" w:rsidRDefault="00485618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485618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 </w:t>
            </w:r>
            <w:r w:rsidR="00485618">
              <w:rPr>
                <w:color w:val="000000"/>
                <w:lang w:eastAsia="hr-HR"/>
              </w:rPr>
              <w:t>229.300,00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485618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  <w:r w:rsidR="00485618">
              <w:rPr>
                <w:color w:val="000000"/>
                <w:lang w:eastAsia="hr-HR"/>
              </w:rPr>
              <w:t>229.300,00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2A6E92" w:rsidP="00485618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  <w:r w:rsidR="00485618">
              <w:rPr>
                <w:color w:val="000000"/>
                <w:lang w:eastAsia="hr-HR"/>
              </w:rPr>
              <w:t>229.300,00</w:t>
            </w:r>
          </w:p>
        </w:tc>
      </w:tr>
      <w:tr w:rsidR="002A6E92" w:rsidRPr="00405656" w:rsidTr="0024795A">
        <w:trPr>
          <w:trHeight w:val="7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lastRenderedPageBreak/>
              <w:t>Materijalni i financijski rashodi  iznad minimalnog standarda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92" w:rsidRPr="00405656" w:rsidRDefault="00485618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421.838,00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92" w:rsidRPr="00405656" w:rsidRDefault="00485618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396.400,00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92" w:rsidRPr="00405656" w:rsidRDefault="00485618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396.400,00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485618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396.400,00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</w:tr>
      <w:tr w:rsidR="002A6E92" w:rsidRPr="00405656" w:rsidTr="0024795A">
        <w:trPr>
          <w:trHeight w:val="7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Produženi boravak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92" w:rsidRPr="00405656" w:rsidRDefault="00485618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58.500,00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92" w:rsidRPr="00405656" w:rsidRDefault="002A6E92" w:rsidP="00485618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     </w:t>
            </w:r>
            <w:r w:rsidR="00485618">
              <w:rPr>
                <w:color w:val="000000"/>
                <w:lang w:eastAsia="hr-HR"/>
              </w:rPr>
              <w:t>31.400,00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92" w:rsidRPr="00405656" w:rsidRDefault="002A6E92" w:rsidP="00485618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     </w:t>
            </w:r>
            <w:r w:rsidR="00485618">
              <w:rPr>
                <w:color w:val="000000"/>
                <w:lang w:eastAsia="hr-HR"/>
              </w:rPr>
              <w:t>31.400,00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2A6E92" w:rsidP="00485618">
            <w:pPr>
              <w:rPr>
                <w:color w:val="000000"/>
                <w:lang w:eastAsia="hr-HR"/>
              </w:rPr>
            </w:pPr>
            <w:r w:rsidRPr="00405656">
              <w:rPr>
                <w:b/>
                <w:color w:val="000000"/>
                <w:lang w:eastAsia="hr-HR"/>
              </w:rPr>
              <w:t xml:space="preserve">    </w:t>
            </w:r>
            <w:r w:rsidR="00485618">
              <w:rPr>
                <w:color w:val="000000"/>
                <w:lang w:eastAsia="hr-HR"/>
              </w:rPr>
              <w:t>31.400,00</w:t>
            </w:r>
          </w:p>
        </w:tc>
      </w:tr>
      <w:tr w:rsidR="002A6E92" w:rsidRPr="00405656" w:rsidTr="00485618">
        <w:trPr>
          <w:trHeight w:val="796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Rashodi za zaposlene-državni proračun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92" w:rsidRPr="00405656" w:rsidRDefault="00485618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2.127.800,00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92" w:rsidRPr="00405656" w:rsidRDefault="00485618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2.130.000,00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92" w:rsidRPr="00405656" w:rsidRDefault="00485618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2.130.000,00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485618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2.130.000,00</w:t>
            </w:r>
          </w:p>
        </w:tc>
      </w:tr>
      <w:tr w:rsidR="002A6E92" w:rsidRPr="00405656" w:rsidTr="0024795A">
        <w:trPr>
          <w:trHeight w:val="243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Ukupno program: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485618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2.837.138,00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485618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2.787.100,00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485618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2.787.100,00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2A6E92" w:rsidP="00485618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  <w:r w:rsidR="00485618">
              <w:rPr>
                <w:color w:val="000000"/>
                <w:lang w:eastAsia="hr-HR"/>
              </w:rPr>
              <w:t>2.787.100,00</w:t>
            </w:r>
          </w:p>
        </w:tc>
      </w:tr>
    </w:tbl>
    <w:p w:rsidR="002A6E92" w:rsidRDefault="002A6E92" w:rsidP="002A6E92">
      <w:pPr>
        <w:spacing w:line="276" w:lineRule="auto"/>
        <w:rPr>
          <w:rFonts w:eastAsia="Calibri"/>
          <w:b/>
        </w:rPr>
      </w:pPr>
    </w:p>
    <w:p w:rsidR="002A6E92" w:rsidRPr="00405656" w:rsidRDefault="002A6E92" w:rsidP="002A6E92">
      <w:pPr>
        <w:spacing w:line="276" w:lineRule="auto"/>
        <w:rPr>
          <w:rFonts w:eastAsia="Calibri"/>
          <w:b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417"/>
        <w:gridCol w:w="1134"/>
        <w:gridCol w:w="1701"/>
        <w:gridCol w:w="1027"/>
        <w:gridCol w:w="1100"/>
        <w:gridCol w:w="1446"/>
      </w:tblGrid>
      <w:tr w:rsidR="002A6E92" w:rsidRPr="00405656" w:rsidTr="0024795A">
        <w:trPr>
          <w:trHeight w:val="300"/>
        </w:trPr>
        <w:tc>
          <w:tcPr>
            <w:tcW w:w="9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b/>
                <w:bCs/>
                <w:lang w:eastAsia="hr-HR"/>
              </w:rPr>
            </w:pPr>
            <w:r w:rsidRPr="00405656">
              <w:rPr>
                <w:b/>
                <w:bCs/>
                <w:lang w:eastAsia="hr-HR"/>
              </w:rPr>
              <w:t>Materijalni i financijski rashodi do minimalnog standarda.</w:t>
            </w:r>
          </w:p>
        </w:tc>
      </w:tr>
      <w:tr w:rsidR="002A6E92" w:rsidRPr="00405656" w:rsidTr="0024795A">
        <w:trPr>
          <w:trHeight w:val="517"/>
        </w:trPr>
        <w:tc>
          <w:tcPr>
            <w:tcW w:w="92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1573F2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Sredstva se planiraju za </w:t>
            </w:r>
            <w:proofErr w:type="gramStart"/>
            <w:r w:rsidRPr="00405656">
              <w:rPr>
                <w:color w:val="000000"/>
                <w:lang w:eastAsia="hr-HR"/>
              </w:rPr>
              <w:t>osiguranje  minimalnih</w:t>
            </w:r>
            <w:proofErr w:type="gramEnd"/>
            <w:r w:rsidRPr="00405656">
              <w:rPr>
                <w:color w:val="000000"/>
                <w:lang w:eastAsia="hr-HR"/>
              </w:rPr>
              <w:t xml:space="preserve"> materijalnih i  financijskih prihoda za rashode škole koja u svom sastavu pored matične škole ima i pet područnih škola: PŠ  Milanovac , PŠ Rezovac, PŠ Rezovačke Krčevine, PŠ Čemernicai PŠ Taborište. U školskoj 202</w:t>
            </w:r>
            <w:r w:rsidR="00B57F36">
              <w:rPr>
                <w:color w:val="000000"/>
                <w:lang w:eastAsia="hr-HR"/>
              </w:rPr>
              <w:t>4</w:t>
            </w:r>
            <w:r w:rsidRPr="00405656">
              <w:rPr>
                <w:color w:val="000000"/>
                <w:lang w:eastAsia="hr-HR"/>
              </w:rPr>
              <w:t>./202</w:t>
            </w:r>
            <w:r w:rsidR="00B57F36">
              <w:rPr>
                <w:color w:val="000000"/>
                <w:lang w:eastAsia="hr-HR"/>
              </w:rPr>
              <w:t>5</w:t>
            </w:r>
            <w:r w:rsidRPr="00405656">
              <w:rPr>
                <w:color w:val="000000"/>
                <w:lang w:eastAsia="hr-HR"/>
              </w:rPr>
              <w:t>.godini upisala je 7</w:t>
            </w:r>
            <w:r w:rsidR="001573F2">
              <w:rPr>
                <w:color w:val="000000"/>
                <w:lang w:eastAsia="hr-HR"/>
              </w:rPr>
              <w:t>15</w:t>
            </w:r>
            <w:r w:rsidRPr="00405656">
              <w:rPr>
                <w:color w:val="000000"/>
                <w:lang w:eastAsia="hr-HR"/>
              </w:rPr>
              <w:t xml:space="preserve"> učenika u 4</w:t>
            </w:r>
            <w:r w:rsidR="001573F2">
              <w:rPr>
                <w:color w:val="000000"/>
                <w:lang w:eastAsia="hr-HR"/>
              </w:rPr>
              <w:t>5</w:t>
            </w:r>
            <w:r w:rsidRPr="00405656">
              <w:rPr>
                <w:color w:val="000000"/>
                <w:lang w:eastAsia="hr-HR"/>
              </w:rPr>
              <w:t xml:space="preserve"> razrednih odjela. U školi radi 106 radnika. Djelatnost se </w:t>
            </w:r>
            <w:proofErr w:type="gramStart"/>
            <w:r w:rsidRPr="00405656">
              <w:rPr>
                <w:color w:val="000000"/>
                <w:lang w:eastAsia="hr-HR"/>
              </w:rPr>
              <w:t>obavlja  na</w:t>
            </w:r>
            <w:proofErr w:type="gramEnd"/>
            <w:r w:rsidRPr="00405656">
              <w:rPr>
                <w:color w:val="000000"/>
                <w:lang w:eastAsia="hr-HR"/>
              </w:rPr>
              <w:t xml:space="preserve"> unutarnjem prostoru ukupne površine od 7.765m2 i vanjskom ukupne povrtšine od 31.927m2.Nastava je organizirana u dvije smjene. Učenici iz prigradskih naselja u školu dolaze organiziranim prijevozom, koje organizira osnivač. Prehrana učenika organizirana je u matičnoj školi i područnim školama Milanovac</w:t>
            </w:r>
            <w:proofErr w:type="gramStart"/>
            <w:r w:rsidRPr="00405656">
              <w:rPr>
                <w:color w:val="000000"/>
                <w:lang w:eastAsia="hr-HR"/>
              </w:rPr>
              <w:t>, ,Rezovac</w:t>
            </w:r>
            <w:proofErr w:type="gramEnd"/>
            <w:r w:rsidRPr="00405656">
              <w:rPr>
                <w:color w:val="000000"/>
                <w:lang w:eastAsia="hr-HR"/>
              </w:rPr>
              <w:t xml:space="preserve"> i Taborištre. Sukladno nastavnom planu i programu za osnovnu školu  škola organizira i provodi redovnu i izbornu nastavu, dopunski i dodatni rad, te izvan nastavne aktivnosti i druge oblike neposredno odgojno-obrazovnog rada s učenicima.</w:t>
            </w:r>
          </w:p>
        </w:tc>
      </w:tr>
      <w:tr w:rsidR="002A6E92" w:rsidRPr="00405656" w:rsidTr="0024795A">
        <w:trPr>
          <w:trHeight w:val="611"/>
        </w:trPr>
        <w:tc>
          <w:tcPr>
            <w:tcW w:w="92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</w:tr>
      <w:tr w:rsidR="002A6E92" w:rsidRPr="00405656" w:rsidTr="0024795A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Pokazatelj</w:t>
            </w: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Polazna vrijednost 202</w:t>
            </w:r>
            <w:r w:rsidR="00B57F36">
              <w:rPr>
                <w:color w:val="000000"/>
                <w:lang w:eastAsia="hr-HR"/>
              </w:rPr>
              <w:t>3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4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5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6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</w:tr>
      <w:tr w:rsidR="002A6E92" w:rsidRPr="00405656" w:rsidTr="0024795A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Održanje ostvarenja sredstava bilanciranih Odlukom i  uredbom Vade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Sredstva za osiguranje minimalnog financijskog standarda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E92" w:rsidRPr="00405656" w:rsidRDefault="002A6E92" w:rsidP="0024795A">
            <w:pPr>
              <w:rPr>
                <w:i/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i/>
                <w:color w:val="000000"/>
                <w:lang w:eastAsia="hr-HR"/>
              </w:rPr>
            </w:pPr>
            <w:r w:rsidRPr="00405656">
              <w:rPr>
                <w:i/>
                <w:color w:val="000000"/>
                <w:lang w:eastAsia="hr-HR"/>
              </w:rPr>
              <w:t>postotak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</w:tr>
      <w:tr w:rsidR="002A6E92" w:rsidRPr="00405656" w:rsidTr="0024795A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</w:tr>
      <w:tr w:rsidR="002A6E92" w:rsidRPr="00405656" w:rsidTr="0024795A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</w:tr>
    </w:tbl>
    <w:p w:rsidR="002A6E92" w:rsidRPr="00405656" w:rsidRDefault="002A6E92" w:rsidP="002A6E92">
      <w:pPr>
        <w:rPr>
          <w:lang w:eastAsia="hr-HR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417"/>
        <w:gridCol w:w="1134"/>
        <w:gridCol w:w="1701"/>
        <w:gridCol w:w="1027"/>
        <w:gridCol w:w="1100"/>
        <w:gridCol w:w="1446"/>
      </w:tblGrid>
      <w:tr w:rsidR="002A6E92" w:rsidRPr="00405656" w:rsidTr="0024795A">
        <w:trPr>
          <w:trHeight w:val="300"/>
        </w:trPr>
        <w:tc>
          <w:tcPr>
            <w:tcW w:w="9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b/>
                <w:bCs/>
                <w:lang w:eastAsia="hr-HR"/>
              </w:rPr>
            </w:pPr>
            <w:r w:rsidRPr="00405656">
              <w:rPr>
                <w:b/>
                <w:bCs/>
                <w:lang w:eastAsia="hr-HR"/>
              </w:rPr>
              <w:t>Materijalni i financijski rashodi   iznad minimalnog  standarda</w:t>
            </w:r>
          </w:p>
        </w:tc>
      </w:tr>
      <w:tr w:rsidR="002A6E92" w:rsidRPr="00405656" w:rsidTr="0024795A">
        <w:trPr>
          <w:trHeight w:val="517"/>
        </w:trPr>
        <w:tc>
          <w:tcPr>
            <w:tcW w:w="92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Ovom aktivnošću se obuhvaćaju planirana sredstva koje </w:t>
            </w:r>
            <w:proofErr w:type="gramStart"/>
            <w:r w:rsidRPr="00405656">
              <w:rPr>
                <w:color w:val="000000"/>
                <w:lang w:eastAsia="hr-HR"/>
              </w:rPr>
              <w:t>škola  financira</w:t>
            </w:r>
            <w:proofErr w:type="gramEnd"/>
            <w:r w:rsidRPr="00405656">
              <w:rPr>
                <w:color w:val="000000"/>
                <w:lang w:eastAsia="hr-HR"/>
              </w:rPr>
              <w:t xml:space="preserve"> na teret ostvarenih prihoda od vlastite djelatnosti, prihoda  za posebne namjene, pomoći, donacije i prihoda od prodaje nefinancijske imovine.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 ove aktivnosti je zadovoljavanje različitih potreba i interesa učenika.</w:t>
            </w:r>
          </w:p>
        </w:tc>
      </w:tr>
      <w:tr w:rsidR="002A6E92" w:rsidRPr="00405656" w:rsidTr="0024795A">
        <w:trPr>
          <w:trHeight w:val="509"/>
        </w:trPr>
        <w:tc>
          <w:tcPr>
            <w:tcW w:w="9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</w:tr>
      <w:tr w:rsidR="002A6E92" w:rsidRPr="00405656" w:rsidTr="0024795A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Pokazatelj</w:t>
            </w: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Polazna vrijednost 202</w:t>
            </w:r>
            <w:r w:rsidR="00B57F36">
              <w:rPr>
                <w:color w:val="000000"/>
                <w:lang w:eastAsia="hr-HR"/>
              </w:rPr>
              <w:t>3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4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5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6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</w:tr>
      <w:tr w:rsidR="002A6E92" w:rsidRPr="00405656" w:rsidTr="0024795A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Obuhvat  svih zainteresira</w:t>
            </w:r>
            <w:r w:rsidRPr="00405656">
              <w:rPr>
                <w:color w:val="000000"/>
                <w:lang w:eastAsia="hr-HR"/>
              </w:rPr>
              <w:lastRenderedPageBreak/>
              <w:t>nih učenika  škole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lastRenderedPageBreak/>
              <w:t xml:space="preserve"> Sredstva za osiguranje materijalnih </w:t>
            </w:r>
            <w:r w:rsidRPr="00405656">
              <w:rPr>
                <w:color w:val="000000"/>
                <w:lang w:eastAsia="hr-HR"/>
              </w:rPr>
              <w:lastRenderedPageBreak/>
              <w:t xml:space="preserve">i financijski rashodi iznad  minimalnog standarda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E92" w:rsidRPr="00405656" w:rsidRDefault="002A6E92" w:rsidP="0024795A">
            <w:pPr>
              <w:rPr>
                <w:i/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i/>
                <w:color w:val="000000"/>
                <w:lang w:eastAsia="hr-HR"/>
              </w:rPr>
            </w:pPr>
            <w:r w:rsidRPr="00405656">
              <w:rPr>
                <w:i/>
                <w:color w:val="000000"/>
                <w:lang w:eastAsia="hr-HR"/>
              </w:rPr>
              <w:t>postotak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lastRenderedPageBreak/>
              <w:t> 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lastRenderedPageBreak/>
              <w:t> 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</w:tr>
    </w:tbl>
    <w:p w:rsidR="002A6E92" w:rsidRDefault="002A6E92" w:rsidP="002A6E92">
      <w:pPr>
        <w:spacing w:after="200" w:line="276" w:lineRule="auto"/>
        <w:rPr>
          <w:rFonts w:eastAsia="Calibri"/>
          <w:b/>
        </w:rPr>
      </w:pPr>
    </w:p>
    <w:p w:rsidR="005454B5" w:rsidRDefault="005454B5" w:rsidP="002A6E92">
      <w:pPr>
        <w:spacing w:after="200" w:line="276" w:lineRule="auto"/>
        <w:rPr>
          <w:rFonts w:eastAsia="Calibri"/>
          <w:b/>
        </w:rPr>
      </w:pPr>
    </w:p>
    <w:p w:rsidR="002A6E92" w:rsidRPr="00405656" w:rsidRDefault="002A6E92" w:rsidP="002A6E92">
      <w:pPr>
        <w:spacing w:after="200" w:line="276" w:lineRule="auto"/>
        <w:rPr>
          <w:rFonts w:eastAsia="Calibri"/>
          <w:b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417"/>
        <w:gridCol w:w="1134"/>
        <w:gridCol w:w="1701"/>
        <w:gridCol w:w="1027"/>
        <w:gridCol w:w="1100"/>
        <w:gridCol w:w="1446"/>
      </w:tblGrid>
      <w:tr w:rsidR="002A6E92" w:rsidRPr="00405656" w:rsidTr="00EB5948">
        <w:trPr>
          <w:trHeight w:val="30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b/>
                <w:bCs/>
                <w:lang w:eastAsia="hr-HR"/>
              </w:rPr>
            </w:pPr>
            <w:r w:rsidRPr="00405656">
              <w:rPr>
                <w:b/>
                <w:bCs/>
                <w:lang w:eastAsia="hr-HR"/>
              </w:rPr>
              <w:t>Produženi boravak</w:t>
            </w:r>
          </w:p>
        </w:tc>
      </w:tr>
      <w:tr w:rsidR="002A6E92" w:rsidRPr="00405656" w:rsidTr="00EB5948">
        <w:trPr>
          <w:trHeight w:val="50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Sredstva se planiraju za </w:t>
            </w:r>
            <w:proofErr w:type="gramStart"/>
            <w:r w:rsidRPr="00405656">
              <w:rPr>
                <w:color w:val="000000"/>
                <w:lang w:eastAsia="hr-HR"/>
              </w:rPr>
              <w:t>provođenje  odgojno</w:t>
            </w:r>
            <w:proofErr w:type="gramEnd"/>
            <w:r w:rsidRPr="00405656">
              <w:rPr>
                <w:color w:val="000000"/>
                <w:lang w:eastAsia="hr-HR"/>
              </w:rPr>
              <w:t xml:space="preserve"> obrazovnog rada nakon nastave.   U školskoj </w:t>
            </w:r>
            <w:proofErr w:type="gramStart"/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3</w:t>
            </w:r>
            <w:r w:rsidRPr="00405656">
              <w:rPr>
                <w:color w:val="000000"/>
                <w:lang w:eastAsia="hr-HR"/>
              </w:rPr>
              <w:t>./</w:t>
            </w:r>
            <w:proofErr w:type="gramEnd"/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6</w:t>
            </w:r>
            <w:r w:rsidRPr="00405656">
              <w:rPr>
                <w:color w:val="000000"/>
                <w:lang w:eastAsia="hr-HR"/>
              </w:rPr>
              <w:t xml:space="preserve">. odgojno obrazovni rad nakon nastave organiziran </w:t>
            </w:r>
            <w:proofErr w:type="gramStart"/>
            <w:r w:rsidRPr="00405656">
              <w:rPr>
                <w:color w:val="000000"/>
                <w:lang w:eastAsia="hr-HR"/>
              </w:rPr>
              <w:t>je  u</w:t>
            </w:r>
            <w:proofErr w:type="gramEnd"/>
            <w:r w:rsidRPr="00405656">
              <w:rPr>
                <w:color w:val="000000"/>
                <w:lang w:eastAsia="hr-HR"/>
              </w:rPr>
              <w:t xml:space="preserve"> </w:t>
            </w:r>
            <w:r w:rsidR="001573F2">
              <w:rPr>
                <w:color w:val="000000"/>
                <w:lang w:eastAsia="hr-HR"/>
              </w:rPr>
              <w:t>tri</w:t>
            </w:r>
            <w:r w:rsidRPr="00405656">
              <w:rPr>
                <w:color w:val="000000"/>
                <w:lang w:eastAsia="hr-HR"/>
              </w:rPr>
              <w:t xml:space="preserve"> razredna odjela  s </w:t>
            </w:r>
            <w:r w:rsidR="001573F2">
              <w:rPr>
                <w:color w:val="000000"/>
                <w:lang w:eastAsia="hr-HR"/>
              </w:rPr>
              <w:t>tri</w:t>
            </w:r>
            <w:r w:rsidRPr="00405656">
              <w:rPr>
                <w:color w:val="000000"/>
                <w:lang w:eastAsia="hr-HR"/>
              </w:rPr>
              <w:t xml:space="preserve"> učiteljice. Aktivnost se sufinancira na način da dio rashoda osigurava Grad Virovitica (60%), a </w:t>
            </w:r>
            <w:proofErr w:type="gramStart"/>
            <w:r w:rsidRPr="00405656">
              <w:rPr>
                <w:color w:val="000000"/>
                <w:lang w:eastAsia="hr-HR"/>
              </w:rPr>
              <w:t>dio  iz</w:t>
            </w:r>
            <w:proofErr w:type="gramEnd"/>
            <w:r w:rsidRPr="00405656">
              <w:rPr>
                <w:color w:val="000000"/>
                <w:lang w:eastAsia="hr-HR"/>
              </w:rPr>
              <w:t xml:space="preserve"> cijene usluga plaćaju roditelji (40%). Sredstva se planiraju za rad </w:t>
            </w:r>
            <w:proofErr w:type="gramStart"/>
            <w:r w:rsidRPr="00405656">
              <w:rPr>
                <w:color w:val="000000"/>
                <w:lang w:eastAsia="hr-HR"/>
              </w:rPr>
              <w:t>( plaće</w:t>
            </w:r>
            <w:proofErr w:type="gramEnd"/>
            <w:r w:rsidRPr="00405656">
              <w:rPr>
                <w:color w:val="000000"/>
                <w:lang w:eastAsia="hr-HR"/>
              </w:rPr>
              <w:t xml:space="preserve">, naknade) </w:t>
            </w:r>
            <w:r w:rsidR="001573F2">
              <w:rPr>
                <w:color w:val="000000"/>
                <w:lang w:eastAsia="hr-HR"/>
              </w:rPr>
              <w:t>triju</w:t>
            </w:r>
            <w:r w:rsidRPr="00405656">
              <w:rPr>
                <w:color w:val="000000"/>
                <w:lang w:eastAsia="hr-HR"/>
              </w:rPr>
              <w:t xml:space="preserve"> učiteljica i troškove prehrane učenika. Aktivnost obuhvaća </w:t>
            </w:r>
            <w:r w:rsidR="001573F2">
              <w:rPr>
                <w:color w:val="000000"/>
                <w:lang w:eastAsia="hr-HR"/>
              </w:rPr>
              <w:t>61</w:t>
            </w:r>
            <w:r w:rsidRPr="00405656">
              <w:rPr>
                <w:color w:val="000000"/>
                <w:lang w:eastAsia="hr-HR"/>
              </w:rPr>
              <w:t xml:space="preserve"> učenika.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 ovog programa je sigurnost učenika  i kvalitetno provođenje slobodnog vremena učenika nakon nastave.</w:t>
            </w:r>
          </w:p>
        </w:tc>
      </w:tr>
      <w:tr w:rsidR="002A6E92" w:rsidRPr="00405656" w:rsidTr="00EB5948">
        <w:trPr>
          <w:trHeight w:val="1149"/>
        </w:trPr>
        <w:tc>
          <w:tcPr>
            <w:tcW w:w="93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</w:tr>
      <w:tr w:rsidR="002A6E92" w:rsidRPr="00405656" w:rsidTr="00EB5948">
        <w:trPr>
          <w:trHeight w:val="71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Pokazatelj</w:t>
            </w: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Polazna vrijednost 202</w:t>
            </w:r>
            <w:r w:rsidR="00B57F36">
              <w:rPr>
                <w:color w:val="000000"/>
                <w:lang w:eastAsia="hr-HR"/>
              </w:rPr>
              <w:t>3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4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5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6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</w:tr>
      <w:tr w:rsidR="002A6E92" w:rsidRPr="00405656" w:rsidTr="00EB5948">
        <w:trPr>
          <w:trHeight w:val="904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Obuhvat  svih zainteresiran učenika  - roditelja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Sredstva za osiguranje materijalnih i financijski rashodi iznad  minimalnog standarda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6E92" w:rsidRPr="00405656" w:rsidRDefault="002A6E92" w:rsidP="0024795A">
            <w:pPr>
              <w:rPr>
                <w:i/>
                <w:color w:val="000000"/>
                <w:lang w:eastAsia="hr-HR"/>
              </w:rPr>
            </w:pPr>
            <w:r w:rsidRPr="00405656">
              <w:rPr>
                <w:i/>
                <w:color w:val="000000"/>
                <w:lang w:eastAsia="hr-HR"/>
              </w:rPr>
              <w:t>Jedinica mjere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1573F2" w:rsidP="0024795A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61</w:t>
            </w: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1573F2" w:rsidP="0024795A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61</w:t>
            </w: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</w:p>
          <w:p w:rsidR="002A6E92" w:rsidRPr="00405656" w:rsidRDefault="001573F2" w:rsidP="0024795A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60</w:t>
            </w: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</w:p>
          <w:p w:rsidR="002A6E92" w:rsidRPr="00405656" w:rsidRDefault="001573F2" w:rsidP="0024795A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60</w:t>
            </w:r>
          </w:p>
        </w:tc>
      </w:tr>
      <w:tr w:rsidR="002A6E92" w:rsidRPr="00405656" w:rsidTr="00EB5948">
        <w:trPr>
          <w:trHeight w:val="30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b/>
                <w:bCs/>
                <w:lang w:eastAsia="hr-HR"/>
              </w:rPr>
            </w:pPr>
            <w:r w:rsidRPr="00405656">
              <w:rPr>
                <w:b/>
                <w:bCs/>
                <w:lang w:eastAsia="hr-HR"/>
              </w:rPr>
              <w:t xml:space="preserve">Rashodi za zaposlene-državni proračun </w:t>
            </w:r>
          </w:p>
        </w:tc>
      </w:tr>
      <w:tr w:rsidR="002A6E92" w:rsidRPr="00405656" w:rsidTr="00EB5948">
        <w:trPr>
          <w:trHeight w:val="50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1573F2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U školi  radi 106 radnika  od kojih 68 učitelja i stručnih suradnika, 23 administrativno-tehničkog osoblja, </w:t>
            </w:r>
            <w:r w:rsidR="001573F2">
              <w:rPr>
                <w:color w:val="000000"/>
                <w:lang w:eastAsia="hr-HR"/>
              </w:rPr>
              <w:t>7</w:t>
            </w:r>
            <w:r w:rsidRPr="00405656">
              <w:rPr>
                <w:color w:val="000000"/>
                <w:lang w:eastAsia="hr-HR"/>
              </w:rPr>
              <w:t xml:space="preserve"> pomoćnika u nastavi, </w:t>
            </w:r>
            <w:r w:rsidR="001573F2">
              <w:rPr>
                <w:color w:val="000000"/>
                <w:lang w:eastAsia="hr-HR"/>
              </w:rPr>
              <w:t>3</w:t>
            </w:r>
            <w:r w:rsidRPr="00405656">
              <w:rPr>
                <w:color w:val="000000"/>
                <w:lang w:eastAsia="hr-HR"/>
              </w:rPr>
              <w:t xml:space="preserve"> učiteljice u produženom boravku , 4</w:t>
            </w:r>
            <w:r w:rsidR="001573F2">
              <w:rPr>
                <w:color w:val="000000"/>
                <w:lang w:eastAsia="hr-HR"/>
              </w:rPr>
              <w:t xml:space="preserve"> </w:t>
            </w:r>
            <w:r w:rsidRPr="00405656">
              <w:rPr>
                <w:color w:val="000000"/>
                <w:lang w:eastAsia="hr-HR"/>
              </w:rPr>
              <w:t>stručne suradnice i ravnatelj škole .Ovom aktivnošću obuhvaćaju planirana sredstva za njihov rad( plaće, naknade i drugi rashodi )koje  obračunava  škola sukladno općim aktima odnosno kolektivnom ugovoru za zaposlenike u osnovnoškolskoj ustanovi.</w:t>
            </w:r>
          </w:p>
        </w:tc>
      </w:tr>
      <w:tr w:rsidR="002A6E92" w:rsidRPr="00405656" w:rsidTr="00EB5948">
        <w:trPr>
          <w:trHeight w:val="50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</w:tr>
      <w:tr w:rsidR="002A6E92" w:rsidRPr="00405656" w:rsidTr="00EB5948">
        <w:trPr>
          <w:trHeight w:val="56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Pokazatelj</w:t>
            </w: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Polazna vrijednost 202</w:t>
            </w:r>
            <w:r w:rsidR="00B57F36">
              <w:rPr>
                <w:color w:val="000000"/>
                <w:lang w:eastAsia="hr-HR"/>
              </w:rPr>
              <w:t>3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4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5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6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</w:tr>
      <w:tr w:rsidR="002A6E92" w:rsidRPr="00405656" w:rsidTr="00EB5948">
        <w:trPr>
          <w:trHeight w:val="2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Održanje ostvarenja </w:t>
            </w:r>
            <w:r w:rsidRPr="00405656">
              <w:rPr>
                <w:color w:val="000000"/>
                <w:lang w:eastAsia="hr-HR"/>
              </w:rPr>
              <w:lastRenderedPageBreak/>
              <w:t>sredstava bilanciranih iz državnog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lastRenderedPageBreak/>
              <w:t xml:space="preserve"> Sredstva za osiguranje </w:t>
            </w:r>
            <w:r w:rsidRPr="00405656">
              <w:rPr>
                <w:color w:val="000000"/>
                <w:lang w:eastAsia="hr-HR"/>
              </w:rPr>
              <w:lastRenderedPageBreak/>
              <w:t xml:space="preserve">financijskih rashoda za plaće zaposlenika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E92" w:rsidRPr="00405656" w:rsidRDefault="002A6E92" w:rsidP="0024795A">
            <w:pPr>
              <w:rPr>
                <w:i/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i/>
                <w:color w:val="000000"/>
                <w:lang w:eastAsia="hr-HR"/>
              </w:rPr>
            </w:pPr>
            <w:r w:rsidRPr="00405656">
              <w:rPr>
                <w:i/>
                <w:color w:val="000000"/>
                <w:lang w:eastAsia="hr-HR"/>
              </w:rPr>
              <w:t>postotak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lastRenderedPageBreak/>
              <w:t> 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lastRenderedPageBreak/>
              <w:t> 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</w:tr>
      <w:tr w:rsidR="002A6E92" w:rsidRPr="00405656" w:rsidTr="00EB5948">
        <w:trPr>
          <w:trHeight w:val="30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b/>
                <w:bCs/>
                <w:lang w:eastAsia="hr-HR"/>
              </w:rPr>
            </w:pPr>
            <w:r w:rsidRPr="00405656">
              <w:rPr>
                <w:b/>
                <w:bCs/>
                <w:lang w:eastAsia="hr-HR"/>
              </w:rPr>
              <w:lastRenderedPageBreak/>
              <w:t>Nabava nefinancijske imovine do minimalnog standarda</w:t>
            </w:r>
          </w:p>
        </w:tc>
      </w:tr>
      <w:tr w:rsidR="002A6E92" w:rsidRPr="00405656" w:rsidTr="00EB5948">
        <w:trPr>
          <w:trHeight w:val="50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Škola je </w:t>
            </w:r>
            <w:proofErr w:type="gramStart"/>
            <w:r w:rsidRPr="00405656">
              <w:rPr>
                <w:color w:val="000000"/>
                <w:lang w:eastAsia="hr-HR"/>
              </w:rPr>
              <w:t>donijela  plan</w:t>
            </w:r>
            <w:proofErr w:type="gramEnd"/>
            <w:r w:rsidRPr="00405656">
              <w:rPr>
                <w:color w:val="000000"/>
                <w:lang w:eastAsia="hr-HR"/>
              </w:rPr>
              <w:t xml:space="preserve"> tekućeg i investicijskog održavanja, kao listu poslova koje bi trebalo ostvariti radi poboljšanja uvjeta i rada škole i sigurnosti učenika. Osnivač će utvrditi prioritete od predloženih poslova i osigurati sredstva sukladno uputama o izradi financijskog plana proračuna za 202</w:t>
            </w:r>
            <w:r w:rsidR="001573F2">
              <w:rPr>
                <w:color w:val="000000"/>
                <w:lang w:eastAsia="hr-HR"/>
              </w:rPr>
              <w:t>4</w:t>
            </w:r>
            <w:r w:rsidRPr="00405656">
              <w:rPr>
                <w:color w:val="000000"/>
                <w:lang w:eastAsia="hr-HR"/>
              </w:rPr>
              <w:t>.godinu i projekcijama 202</w:t>
            </w:r>
            <w:r w:rsidR="001573F2">
              <w:rPr>
                <w:color w:val="000000"/>
                <w:lang w:eastAsia="hr-HR"/>
              </w:rPr>
              <w:t>5</w:t>
            </w:r>
            <w:r w:rsidRPr="00405656">
              <w:rPr>
                <w:color w:val="000000"/>
                <w:lang w:eastAsia="hr-HR"/>
              </w:rPr>
              <w:t>. i 202</w:t>
            </w:r>
            <w:r w:rsidR="001573F2">
              <w:rPr>
                <w:color w:val="000000"/>
                <w:lang w:eastAsia="hr-HR"/>
              </w:rPr>
              <w:t>6</w:t>
            </w:r>
            <w:r w:rsidRPr="00405656">
              <w:rPr>
                <w:color w:val="000000"/>
                <w:lang w:eastAsia="hr-HR"/>
              </w:rPr>
              <w:t>.godinu.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 ovog programa sigurna i opremljena škola.</w:t>
            </w:r>
          </w:p>
        </w:tc>
      </w:tr>
      <w:tr w:rsidR="002A6E92" w:rsidRPr="00405656" w:rsidTr="00EB5948">
        <w:trPr>
          <w:trHeight w:val="50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</w:tr>
      <w:tr w:rsidR="002A6E92" w:rsidRPr="00405656" w:rsidTr="00EB5948">
        <w:trPr>
          <w:trHeight w:val="56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Pokazatelj</w:t>
            </w: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92" w:rsidRPr="00405656" w:rsidRDefault="002A6E92" w:rsidP="001573F2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Polazna vrijednost 202</w:t>
            </w:r>
            <w:r w:rsidR="001573F2">
              <w:rPr>
                <w:color w:val="000000"/>
                <w:lang w:eastAsia="hr-HR"/>
              </w:rPr>
              <w:t>3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EB5948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EB5948">
              <w:rPr>
                <w:color w:val="000000"/>
                <w:lang w:eastAsia="hr-HR"/>
              </w:rPr>
              <w:t>4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EB5948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EB5948">
              <w:rPr>
                <w:color w:val="000000"/>
                <w:lang w:eastAsia="hr-HR"/>
              </w:rPr>
              <w:t>5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EB5948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EB5948">
              <w:rPr>
                <w:color w:val="000000"/>
                <w:lang w:eastAsia="hr-HR"/>
              </w:rPr>
              <w:t>6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</w:tr>
      <w:tr w:rsidR="002A6E92" w:rsidRPr="00405656" w:rsidTr="00EB5948">
        <w:trPr>
          <w:trHeight w:val="2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Poboljšanje uvjeta rada škole i sigurnost učenika.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Nabava potrebne opreme za poboljšanje standarda u školi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E92" w:rsidRPr="00405656" w:rsidRDefault="002A6E92" w:rsidP="0024795A">
            <w:pPr>
              <w:rPr>
                <w:i/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i/>
                <w:color w:val="000000"/>
                <w:lang w:eastAsia="hr-HR"/>
              </w:rPr>
            </w:pPr>
            <w:r w:rsidRPr="00405656">
              <w:rPr>
                <w:i/>
                <w:color w:val="000000"/>
                <w:lang w:eastAsia="hr-HR"/>
              </w:rPr>
              <w:t>postotak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</w:tr>
    </w:tbl>
    <w:p w:rsidR="002A6E92" w:rsidRPr="00405656" w:rsidRDefault="002A6E92" w:rsidP="002A6E92">
      <w:pPr>
        <w:rPr>
          <w:color w:val="000000"/>
          <w:lang w:eastAsia="hr-HR"/>
        </w:rPr>
      </w:pPr>
    </w:p>
    <w:p w:rsidR="002A6E92" w:rsidRPr="00405656" w:rsidRDefault="002A6E92" w:rsidP="00EB5948">
      <w:pPr>
        <w:spacing w:line="276" w:lineRule="auto"/>
        <w:rPr>
          <w:rFonts w:eastAsia="Calibri"/>
          <w:b/>
        </w:rPr>
      </w:pPr>
      <w:r w:rsidRPr="00405656">
        <w:rPr>
          <w:rFonts w:eastAsia="Calibri"/>
        </w:rPr>
        <w:t xml:space="preserve">  </w:t>
      </w:r>
    </w:p>
    <w:p w:rsidR="002A6E92" w:rsidRPr="00405656" w:rsidRDefault="002A6E92" w:rsidP="002A6E92">
      <w:pPr>
        <w:spacing w:after="200" w:line="276" w:lineRule="auto"/>
        <w:rPr>
          <w:rFonts w:eastAsia="Calibri"/>
          <w:b/>
        </w:rPr>
      </w:pPr>
    </w:p>
    <w:p w:rsidR="002A6E92" w:rsidRPr="00405656" w:rsidRDefault="002A6E92" w:rsidP="002A6E92">
      <w:pPr>
        <w:spacing w:line="276" w:lineRule="auto"/>
        <w:rPr>
          <w:rFonts w:eastAsia="Calibri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2A6E92" w:rsidRPr="00405656" w:rsidTr="0024795A">
        <w:trPr>
          <w:trHeight w:val="26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E92" w:rsidRPr="00405656" w:rsidRDefault="002A6E92" w:rsidP="0024795A">
            <w:pPr>
              <w:rPr>
                <w:b/>
                <w:bCs/>
                <w:i/>
                <w:iCs/>
                <w:lang w:eastAsia="hr-HR"/>
              </w:rPr>
            </w:pPr>
            <w:r w:rsidRPr="00405656">
              <w:rPr>
                <w:b/>
                <w:bCs/>
                <w:i/>
                <w:iCs/>
                <w:lang w:eastAsia="hr-HR"/>
              </w:rPr>
              <w:t>Program1009  POMAGAČI I NASTAVI</w:t>
            </w:r>
          </w:p>
        </w:tc>
      </w:tr>
      <w:tr w:rsidR="002A6E92" w:rsidRPr="00405656" w:rsidTr="0024795A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E92" w:rsidRPr="00405656" w:rsidRDefault="002A6E92" w:rsidP="00EB5948">
            <w:pPr>
              <w:spacing w:after="200" w:line="276" w:lineRule="auto"/>
              <w:rPr>
                <w:color w:val="000000"/>
                <w:lang w:eastAsia="hr-HR"/>
              </w:rPr>
            </w:pPr>
            <w:proofErr w:type="gramStart"/>
            <w:r w:rsidRPr="00405656">
              <w:rPr>
                <w:rFonts w:eastAsia="Calibri"/>
                <w:lang w:eastAsia="hr-HR"/>
              </w:rPr>
              <w:t>U  sklopu</w:t>
            </w:r>
            <w:proofErr w:type="gramEnd"/>
            <w:r w:rsidRPr="00405656">
              <w:rPr>
                <w:rFonts w:eastAsia="Calibri"/>
                <w:lang w:eastAsia="hr-HR"/>
              </w:rPr>
              <w:t xml:space="preserve"> projekta „Korak u život jednakih mogućnosti koji se provodi u okviru instrumenta „osiguranje pomoćnika u nastavi i stručnih komunikacijskih posrednika učenicima s teškoćama u razvoju u osnovnoškolskim i srednjoškolskim odgojno-obrazovnim ustanovama temeljem poziva UP.03.2.101. Europskog socijalnog fonda u sklopu Operativnog programa „Učinkoviti ljudski potencijal, a na temelju odluke o uključivanju pomoćnika u nastavu i stručnih komunikacijskih posrednika u našoj školi za razdoblje 202</w:t>
            </w:r>
            <w:r w:rsidR="00EB5948">
              <w:rPr>
                <w:rFonts w:eastAsia="Calibri"/>
                <w:lang w:eastAsia="hr-HR"/>
              </w:rPr>
              <w:t>3</w:t>
            </w:r>
            <w:r w:rsidRPr="00405656">
              <w:rPr>
                <w:rFonts w:eastAsia="Calibri"/>
                <w:lang w:eastAsia="hr-HR"/>
              </w:rPr>
              <w:t>.-202</w:t>
            </w:r>
            <w:r w:rsidR="00EB5948">
              <w:rPr>
                <w:rFonts w:eastAsia="Calibri"/>
                <w:lang w:eastAsia="hr-HR"/>
              </w:rPr>
              <w:t>4</w:t>
            </w:r>
            <w:r w:rsidRPr="00405656">
              <w:rPr>
                <w:rFonts w:eastAsia="Calibri"/>
                <w:lang w:eastAsia="hr-HR"/>
              </w:rPr>
              <w:t xml:space="preserve">.godina odobreno je </w:t>
            </w:r>
            <w:r w:rsidR="00EB5948">
              <w:rPr>
                <w:rFonts w:eastAsia="Calibri"/>
                <w:lang w:eastAsia="hr-HR"/>
              </w:rPr>
              <w:t>sedam</w:t>
            </w:r>
            <w:r w:rsidRPr="00405656">
              <w:rPr>
                <w:rFonts w:eastAsia="Calibri"/>
                <w:lang w:eastAsia="hr-HR"/>
              </w:rPr>
              <w:t xml:space="preserve"> pomoćnika</w:t>
            </w:r>
          </w:p>
        </w:tc>
      </w:tr>
      <w:tr w:rsidR="002A6E92" w:rsidRPr="00405656" w:rsidTr="0024795A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b/>
                <w:color w:val="000000"/>
                <w:lang w:eastAsia="hr-HR"/>
              </w:rPr>
              <w:t>Zakonske i druge pravne osnove programa</w:t>
            </w:r>
            <w:r w:rsidRPr="00405656">
              <w:rPr>
                <w:color w:val="000000"/>
                <w:lang w:eastAsia="hr-HR"/>
              </w:rPr>
              <w:t>:</w:t>
            </w:r>
          </w:p>
          <w:p w:rsidR="002A6E92" w:rsidRPr="00405656" w:rsidRDefault="002A6E92" w:rsidP="0024795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i/>
              </w:rPr>
            </w:pPr>
            <w:r w:rsidRPr="00405656">
              <w:rPr>
                <w:rFonts w:eastAsia="Calibri"/>
                <w:i/>
              </w:rPr>
              <w:t xml:space="preserve">Zakon o odgoju i obrazovanju u </w:t>
            </w:r>
            <w:proofErr w:type="gramStart"/>
            <w:r w:rsidRPr="00405656">
              <w:rPr>
                <w:rFonts w:eastAsia="Calibri"/>
                <w:i/>
              </w:rPr>
              <w:t>osnovnoj  i</w:t>
            </w:r>
            <w:proofErr w:type="gramEnd"/>
            <w:r w:rsidRPr="00405656">
              <w:rPr>
                <w:rFonts w:eastAsia="Calibri"/>
                <w:i/>
              </w:rPr>
              <w:t xml:space="preserve"> srednjoj školi(N.N.87/08. 86/09, 92/10, 105/10-ISPRAVAK, 90/11, 16/12, 86/12, 126/12, 94/13, 152/14, 7/17, 68/16 , 98/19 i 60/2020.).</w:t>
            </w:r>
          </w:p>
          <w:p w:rsidR="002A6E92" w:rsidRPr="00405656" w:rsidRDefault="002A6E92" w:rsidP="0024795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i/>
              </w:rPr>
            </w:pPr>
            <w:r w:rsidRPr="00405656">
              <w:rPr>
                <w:rFonts w:eastAsia="Calibri"/>
                <w:i/>
              </w:rPr>
              <w:t>Pravilnik o pomoćnicima u nastavi i stručnim komunikacijskim posrednicima (NN.br.102/2018, N.N.99/2019 iN.N.22/</w:t>
            </w:r>
            <w:proofErr w:type="gramStart"/>
            <w:r w:rsidRPr="00405656">
              <w:rPr>
                <w:rFonts w:eastAsia="Calibri"/>
                <w:i/>
              </w:rPr>
              <w:t>2020..</w:t>
            </w:r>
            <w:proofErr w:type="gramEnd"/>
          </w:p>
          <w:p w:rsidR="002A6E92" w:rsidRPr="00405656" w:rsidRDefault="002A6E92" w:rsidP="0024795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hr-HR"/>
              </w:rPr>
            </w:pPr>
          </w:p>
        </w:tc>
      </w:tr>
      <w:tr w:rsidR="002A6E92" w:rsidRPr="00405656" w:rsidTr="0024795A">
        <w:trPr>
          <w:trHeight w:val="584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E92" w:rsidRPr="00405656" w:rsidRDefault="002A6E92" w:rsidP="0024795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color w:val="000000"/>
                <w:lang w:eastAsia="hr-HR"/>
              </w:rPr>
            </w:pPr>
            <w:r w:rsidRPr="00405656">
              <w:rPr>
                <w:i/>
                <w:color w:val="000000"/>
                <w:lang w:eastAsia="hr-HR"/>
              </w:rPr>
              <w:t>Cilj programa je savladavanje nastavnih planova i programa/kurikuluma  škole za učenike koji imaju teškoće koje ih sprečavaju u samostalnom funkcioniranju te trebaju stalnu ili povremenu potporu.</w:t>
            </w:r>
          </w:p>
        </w:tc>
      </w:tr>
    </w:tbl>
    <w:p w:rsidR="002A6E92" w:rsidRPr="00405656" w:rsidRDefault="002A6E92" w:rsidP="002A6E92">
      <w:pPr>
        <w:rPr>
          <w:color w:val="000000"/>
          <w:lang w:eastAsia="hr-HR"/>
        </w:rPr>
      </w:pPr>
    </w:p>
    <w:p w:rsidR="002A6E92" w:rsidRPr="00405656" w:rsidRDefault="002A6E92" w:rsidP="002A6E92">
      <w:pPr>
        <w:spacing w:line="276" w:lineRule="auto"/>
        <w:rPr>
          <w:rFonts w:eastAsia="Calibri"/>
        </w:rPr>
      </w:pPr>
      <w:r w:rsidRPr="00405656">
        <w:rPr>
          <w:rFonts w:eastAsia="Calibri"/>
        </w:rPr>
        <w:t xml:space="preserve">  Za potrebe izvršenja aktivnosti ovog Programa za razdoblje 202</w:t>
      </w:r>
      <w:r w:rsidR="00B57F36">
        <w:rPr>
          <w:rFonts w:eastAsia="Calibri"/>
        </w:rPr>
        <w:t>3</w:t>
      </w:r>
      <w:r w:rsidRPr="00405656">
        <w:rPr>
          <w:rFonts w:eastAsia="Calibri"/>
        </w:rPr>
        <w:t>.-202</w:t>
      </w:r>
      <w:r w:rsidR="00B57F36">
        <w:rPr>
          <w:rFonts w:eastAsia="Calibri"/>
        </w:rPr>
        <w:t>6</w:t>
      </w:r>
      <w:r w:rsidRPr="00405656">
        <w:rPr>
          <w:rFonts w:eastAsia="Calibri"/>
        </w:rPr>
        <w:t>.godine planirano je: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2A6E92" w:rsidRPr="00405656" w:rsidTr="0024795A">
        <w:trPr>
          <w:trHeight w:val="5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Proračun </w:t>
            </w:r>
          </w:p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3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Plan</w:t>
            </w:r>
          </w:p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4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Projekcija 202</w:t>
            </w:r>
            <w:r w:rsidR="00B57F36">
              <w:rPr>
                <w:color w:val="000000"/>
                <w:lang w:eastAsia="hr-HR"/>
              </w:rPr>
              <w:t>5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Projekcija 202</w:t>
            </w:r>
            <w:r w:rsidR="00B57F36">
              <w:rPr>
                <w:color w:val="000000"/>
                <w:lang w:eastAsia="hr-HR"/>
              </w:rPr>
              <w:t>6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</w:tr>
      <w:tr w:rsidR="002A6E92" w:rsidRPr="00405656" w:rsidTr="0024795A">
        <w:trPr>
          <w:trHeight w:val="3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KORAK U ŽIVOT JEDNAKIH MOGUĆNOST FAZA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92" w:rsidRPr="00405656" w:rsidRDefault="00B57F36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27.200,00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92" w:rsidRPr="00405656" w:rsidRDefault="00B57F36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28.000,00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92" w:rsidRPr="00405656" w:rsidRDefault="00B57F36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28.000,00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B57F36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28.000,00</w:t>
            </w:r>
          </w:p>
        </w:tc>
      </w:tr>
      <w:tr w:rsidR="002A6E92" w:rsidRPr="00405656" w:rsidTr="0024795A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</w:tr>
      <w:tr w:rsidR="002A6E92" w:rsidRPr="00405656" w:rsidTr="0024795A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B57F36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27.200,00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B57F36" w:rsidP="0024795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28.000,00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B57F36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  <w:r w:rsidR="00B57F36">
              <w:rPr>
                <w:color w:val="000000"/>
                <w:lang w:eastAsia="hr-HR"/>
              </w:rPr>
              <w:t>28.000,00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2A6E92" w:rsidP="00B57F36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</w:t>
            </w:r>
            <w:r w:rsidR="00B57F36">
              <w:rPr>
                <w:color w:val="000000"/>
                <w:lang w:eastAsia="hr-HR"/>
              </w:rPr>
              <w:t>28.000,00</w:t>
            </w:r>
          </w:p>
        </w:tc>
      </w:tr>
    </w:tbl>
    <w:p w:rsidR="002A6E92" w:rsidRPr="00405656" w:rsidRDefault="002A6E92" w:rsidP="002A6E92">
      <w:pPr>
        <w:spacing w:line="276" w:lineRule="auto"/>
        <w:rPr>
          <w:rFonts w:eastAsia="Calibri"/>
          <w:b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42"/>
        <w:gridCol w:w="1275"/>
        <w:gridCol w:w="1134"/>
        <w:gridCol w:w="1701"/>
        <w:gridCol w:w="1027"/>
        <w:gridCol w:w="1100"/>
        <w:gridCol w:w="1446"/>
      </w:tblGrid>
      <w:tr w:rsidR="002A6E92" w:rsidRPr="00405656" w:rsidTr="0024795A">
        <w:trPr>
          <w:trHeight w:val="300"/>
        </w:trPr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b/>
                <w:bCs/>
                <w:lang w:eastAsia="hr-HR"/>
              </w:rPr>
            </w:pPr>
            <w:r w:rsidRPr="00405656">
              <w:rPr>
                <w:b/>
                <w:bCs/>
                <w:lang w:eastAsia="hr-HR"/>
              </w:rPr>
              <w:t>POMOĆNICI U NASTAVI</w:t>
            </w:r>
          </w:p>
        </w:tc>
      </w:tr>
      <w:tr w:rsidR="002A6E92" w:rsidRPr="00405656" w:rsidTr="0024795A">
        <w:trPr>
          <w:trHeight w:val="517"/>
        </w:trPr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 xml:space="preserve">Ovom aktivnošću se obuhvaćaju planirana sredstva </w:t>
            </w:r>
            <w:proofErr w:type="gramStart"/>
            <w:r w:rsidRPr="00405656">
              <w:rPr>
                <w:color w:val="000000"/>
                <w:lang w:eastAsia="hr-HR"/>
              </w:rPr>
              <w:t>za  plaće</w:t>
            </w:r>
            <w:proofErr w:type="gramEnd"/>
            <w:r w:rsidRPr="00405656">
              <w:rPr>
                <w:color w:val="000000"/>
                <w:lang w:eastAsia="hr-HR"/>
              </w:rPr>
              <w:t xml:space="preserve"> i prijevoz  osam pomoćnika  u nastavi. </w:t>
            </w:r>
          </w:p>
        </w:tc>
      </w:tr>
      <w:tr w:rsidR="002A6E92" w:rsidRPr="00405656" w:rsidTr="0024795A">
        <w:trPr>
          <w:trHeight w:val="509"/>
        </w:trPr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</w:tr>
      <w:tr w:rsidR="002A6E92" w:rsidRPr="00405656" w:rsidTr="009555D0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Pokazatelj</w:t>
            </w:r>
          </w:p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rezultata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Polazna vrijednost 202</w:t>
            </w:r>
            <w:r w:rsidR="00B57F36">
              <w:rPr>
                <w:color w:val="000000"/>
                <w:lang w:eastAsia="hr-HR"/>
              </w:rPr>
              <w:t>3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4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5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92" w:rsidRPr="00405656" w:rsidRDefault="002A6E92" w:rsidP="0024795A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Ciljana vrijednost</w:t>
            </w:r>
          </w:p>
          <w:p w:rsidR="002A6E92" w:rsidRPr="00405656" w:rsidRDefault="002A6E92" w:rsidP="00B57F36">
            <w:pPr>
              <w:jc w:val="center"/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202</w:t>
            </w:r>
            <w:r w:rsidR="00B57F36">
              <w:rPr>
                <w:color w:val="000000"/>
                <w:lang w:eastAsia="hr-HR"/>
              </w:rPr>
              <w:t>6</w:t>
            </w:r>
            <w:r w:rsidRPr="00405656">
              <w:rPr>
                <w:color w:val="000000"/>
                <w:lang w:eastAsia="hr-HR"/>
              </w:rPr>
              <w:t>.</w:t>
            </w:r>
          </w:p>
        </w:tc>
      </w:tr>
      <w:tr w:rsidR="002A6E92" w:rsidRPr="00405656" w:rsidTr="009555D0">
        <w:trPr>
          <w:trHeight w:val="28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92" w:rsidRPr="00405656" w:rsidRDefault="002A6E92" w:rsidP="009555D0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Održanje broja učenika s posebnim odgojno-obrazovnim potrebama kojima se osigurava potpora pomoćnika u nastavi.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Pomoć i podrška učenicima s teškoćama u razvoju u praćenju nastavnog procesa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E92" w:rsidRPr="00405656" w:rsidRDefault="002A6E92" w:rsidP="0024795A">
            <w:pPr>
              <w:rPr>
                <w:i/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i/>
                <w:color w:val="000000"/>
                <w:lang w:eastAsia="hr-HR"/>
              </w:rPr>
            </w:pPr>
            <w:r w:rsidRPr="00405656">
              <w:rPr>
                <w:i/>
                <w:color w:val="000000"/>
                <w:lang w:eastAsia="hr-HR"/>
              </w:rPr>
              <w:t>postotak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100%obuhvat učenika sukladno prioritetima Grada Virovitice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 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  <w:r w:rsidRPr="00405656">
              <w:rPr>
                <w:color w:val="000000"/>
                <w:lang w:eastAsia="hr-HR"/>
              </w:rPr>
              <w:t>100%</w:t>
            </w: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  <w:p w:rsidR="002A6E92" w:rsidRPr="00405656" w:rsidRDefault="002A6E92" w:rsidP="0024795A">
            <w:pPr>
              <w:rPr>
                <w:color w:val="000000"/>
                <w:lang w:eastAsia="hr-HR"/>
              </w:rPr>
            </w:pPr>
          </w:p>
        </w:tc>
      </w:tr>
    </w:tbl>
    <w:p w:rsidR="002A6E92" w:rsidRPr="00405656" w:rsidRDefault="002A6E92" w:rsidP="002A6E92">
      <w:pPr>
        <w:spacing w:after="200" w:line="276" w:lineRule="auto"/>
        <w:rPr>
          <w:rFonts w:eastAsia="Calibri"/>
        </w:rPr>
      </w:pPr>
    </w:p>
    <w:p w:rsidR="00722CB3" w:rsidRDefault="00722CB3"/>
    <w:sectPr w:rsidR="0072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5D0"/>
    <w:multiLevelType w:val="hybridMultilevel"/>
    <w:tmpl w:val="9F1A4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92"/>
    <w:rsid w:val="000C6937"/>
    <w:rsid w:val="001246F0"/>
    <w:rsid w:val="001573F2"/>
    <w:rsid w:val="001736E1"/>
    <w:rsid w:val="001F3DE4"/>
    <w:rsid w:val="0024795A"/>
    <w:rsid w:val="002A6E92"/>
    <w:rsid w:val="00350EDC"/>
    <w:rsid w:val="003F1A5D"/>
    <w:rsid w:val="00420C00"/>
    <w:rsid w:val="00485618"/>
    <w:rsid w:val="005454B5"/>
    <w:rsid w:val="005F3D1A"/>
    <w:rsid w:val="006668FD"/>
    <w:rsid w:val="006C783A"/>
    <w:rsid w:val="006E66E5"/>
    <w:rsid w:val="00722CB3"/>
    <w:rsid w:val="0076205C"/>
    <w:rsid w:val="008428C7"/>
    <w:rsid w:val="008A6A60"/>
    <w:rsid w:val="00931720"/>
    <w:rsid w:val="009555D0"/>
    <w:rsid w:val="00AD0065"/>
    <w:rsid w:val="00B5003B"/>
    <w:rsid w:val="00B57F36"/>
    <w:rsid w:val="00B8068D"/>
    <w:rsid w:val="00C53175"/>
    <w:rsid w:val="00C67584"/>
    <w:rsid w:val="00C67E00"/>
    <w:rsid w:val="00CA47E7"/>
    <w:rsid w:val="00EB5948"/>
    <w:rsid w:val="00EC75BF"/>
    <w:rsid w:val="00F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5171"/>
  <w15:docId w15:val="{D9835D83-CF8D-4CA0-B7DF-C12C2390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Nada</cp:lastModifiedBy>
  <cp:revision>3</cp:revision>
  <dcterms:created xsi:type="dcterms:W3CDTF">2023-10-04T11:40:00Z</dcterms:created>
  <dcterms:modified xsi:type="dcterms:W3CDTF">2023-10-04T12:03:00Z</dcterms:modified>
</cp:coreProperties>
</file>