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c3892f651594f7d"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8703</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O.Š. IVANE BRLIĆ-MAŽURANIĆ, VIROVITICA</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31</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1.708.882,46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1.902.516,39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111,3</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1.629.500,41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1.778.500,67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109,1</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POSLOVANJA (šifre 6-Z005)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79.382,05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124.015,72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156,2</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58.310,09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66.254,99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113,6</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58.310,09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66.254,99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113,6</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16.590,36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16.590,36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PRIMITAKA OD FINANCIJSKE IMOVINE I ZADUŽIVANJA (šifre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16.590,36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16.590,36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100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I PRIMITAKA (šifre X678-Y345)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4.481,60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41.170,37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918,7</w:t>
            </w:r>
          </w:p>
        </w:tc>
      </w:tr>
    </w:tbl>
    <w:p>
      <w:pPr>
        <w:spacing w:before="0" w:after="0"/>
      </w:pPr>
    </w:p>
    <w:p>
      <w:pPr>
        <w:jc w:val="both"/>
        <w:pStyle w:val="Normal"/>
        <w:spacing w:line="240" w:lineRule="auto"/>
      </w:pPr>
      <w:r>
        <w:rPr>
          <w:sz w:val="24"/>
          <w:rFonts w:ascii="Times New Roman" w:hAnsi="Times New Roman"/>
        </w:rPr>
        <w:t>Prihodi poslovanja sadrže prihode za redovno održavanje nastave (decentralizirana sredstva), prihode od osnivača za financiranje rashoda za nabavu nefinancijske imovine, prihode od pomoći iz državnog proračuna, donacije, sufinancirane pomoći i vlastita sredstva. Rashodi poslovanja sadrže rashode do minimalnog standarda, rashode za plaće zaposlenika i materijalne rashode  iznad minimalnog standarda kao što su intelektualne usluge, kamate i rashodi za otplatu kredita.
Višak prihoda poslovanja (X001) sadrži višak prihoda za nabavu nefinancijske imovine, plaću pripravnika, sufinancirana sredstva za produženi boravak, otplatu zajmova i višak vlastitih sredstava.
Manjak prihoda od nefinancijske imovine (Y002) odnosi se na kupnju opreme za hlađenje, grijanje i kombi vozilo koja su kupljena iz sredstava nefinancijske imovine do minimalnog standarda i iznad minimalnog standarda.
Manjak od financijske imovine i zaduživanja (Y003) se odnosi na otplatu glavnice kredita podignutog za energetsku obnovu škole, a koji financira osnivač.
Višak prihoda i primitaka (X005) na dan 30.06.2025. u iznosu 24.242,88€ odnose se na besplatnu prehranu, pomoći financiranja plaće pripravnika i pomoći za nabavu udžbenika. Višak od vlastitih sredstava iznosi 1.390,00 € dok od pomoći sufinanciranja sredstava za produženi boravak iznosi 9.372,40 € te preneseni višak iz prethodne godine koji iznosi 6.165,09 €, a odnosi se na vlastita i sufinancirana sredstva za produženi boravak.</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proračunskim korisnicima iz proračuna koji im nije nadležan</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1.372.328,15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1.411.684,72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102,9</w:t>
            </w:r>
          </w:p>
        </w:tc>
      </w:tr>
    </w:tbl>
    <w:p>
      <w:pPr>
        <w:spacing w:before="0" w:after="0"/>
      </w:pPr>
    </w:p>
    <w:p>
      <w:pPr>
        <w:jc w:val="both"/>
        <w:pStyle w:val="Normal"/>
        <w:spacing w:line="240" w:lineRule="auto"/>
      </w:pPr>
      <w:r>
        <w:rPr>
          <w:sz w:val="24"/>
          <w:rFonts w:ascii="Times New Roman" w:hAnsi="Times New Roman"/>
        </w:rPr>
        <w:t>Povećanje tekućih pomoći iz proračuna koji nije nadležan odnosi se primarno na sredstva namijenjena za plaće zaposlenika u iznosu od 1.394.338,75 € koja se financiraju uplatama iz Ministarstva znanosti i obrazovanja. Ovo povećanje pomoći rezultiralo je i povećanjem osnovice za obračun plaća u javnim službama. Osim toga, iz ovih sredstava financiraju se i drugi rashodi, uključujući troškove prijevoza djece s posebnim potrebama u iznosu od 5.475,82 €, te sredstva za sudjelovanje učenika na natjecanjima u iznosu od 1.356,50 €, a čija sredstva osigurava Virovitičko-podravska županija. Promjenom modela financiranja besplatne prehrane učenika, na prihodima od tekućih pomoći ostao je iznos od 10.513,65 € koji je pokriva manjak iz prethodne godine.</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Kapitalne pomoći proračunskim korisnicima iz proračuna koji im nije nadležan</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131,93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109,94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83,3</w:t>
            </w:r>
          </w:p>
        </w:tc>
      </w:tr>
    </w:tbl>
    <w:p>
      <w:pPr>
        <w:spacing w:before="0" w:after="0"/>
      </w:pPr>
    </w:p>
    <w:p>
      <w:pPr>
        <w:jc w:val="both"/>
        <w:pStyle w:val="Normal"/>
        <w:spacing w:line="240" w:lineRule="auto"/>
      </w:pPr>
      <w:r>
        <w:rPr>
          <w:sz w:val="24"/>
          <w:rFonts w:ascii="Times New Roman" w:hAnsi="Times New Roman"/>
        </w:rPr>
        <w:t>Kapitalne pomoći obuhvaćaju naknade za izgubljene udžbenike u školskoj godini 2024./2025., koje osigurava Ministarstvo znanosti, obrazovanja i mladih.</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upravnih i administrativnih pristojbi, pristojbi po posebnim propisima i naknada (šifre 651+652+653+654)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29.836,18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57.123,92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191,5</w:t>
            </w:r>
          </w:p>
        </w:tc>
      </w:tr>
    </w:tbl>
    <w:p>
      <w:pPr>
        <w:spacing w:before="0" w:after="0"/>
      </w:pPr>
    </w:p>
    <w:p>
      <w:pPr>
        <w:jc w:val="both"/>
        <w:pStyle w:val="Normal"/>
        <w:spacing w:line="240" w:lineRule="auto"/>
      </w:pPr>
      <w:r>
        <w:rPr>
          <w:sz w:val="24"/>
          <w:rFonts w:ascii="Times New Roman" w:hAnsi="Times New Roman"/>
        </w:rPr>
        <w:t>Rast prihoda od upravnih i administrativnih pristojbi najvećim se dijelom odnosi na povećanje uplata za naknade produženog boravka učenika u iznosu od 26.051,32 €, te uplata za prehranu zaposlenika u iznosu od 6.832,00 €. Također, zapošljavanjem pripravnika, Hrvatski zavod za zapošljavanje osigurao je sredstva za isplatu plaće i doprinosa pripravniku u ukupnom iznosu od 24.240,60 €.</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6615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pruženih usluga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6615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5.346,38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6.640,00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124,2</w:t>
            </w:r>
          </w:p>
        </w:tc>
      </w:tr>
    </w:tbl>
    <w:p>
      <w:pPr>
        <w:spacing w:before="0" w:after="0"/>
      </w:pPr>
    </w:p>
    <w:p>
      <w:pPr>
        <w:jc w:val="both"/>
        <w:pStyle w:val="Normal"/>
        <w:spacing w:line="240" w:lineRule="auto"/>
      </w:pPr>
      <w:r>
        <w:rPr>
          <w:sz w:val="24"/>
          <w:rFonts w:ascii="Times New Roman" w:hAnsi="Times New Roman"/>
        </w:rPr>
        <w:t>Prihodi od najma školske dvorane za sportske aktivnosti te od samoposlužnih aparata značajno su se povećali u odnosu na prethodnu godinu. Navedeno povećanje prvenstveno je rezultat porasta potražnje sportskih klubova za najmom dvorane u večernjim satima.</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donacije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1.402,90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553,00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39,4</w:t>
            </w:r>
          </w:p>
        </w:tc>
      </w:tr>
    </w:tbl>
    <w:p>
      <w:pPr>
        <w:spacing w:before="0" w:after="0"/>
      </w:pPr>
    </w:p>
    <w:p>
      <w:pPr>
        <w:jc w:val="both"/>
        <w:pStyle w:val="Normal"/>
        <w:spacing w:line="240" w:lineRule="auto"/>
      </w:pPr>
      <w:r>
        <w:rPr>
          <w:sz w:val="24"/>
          <w:rFonts w:ascii="Times New Roman" w:hAnsi="Times New Roman"/>
        </w:rPr>
        <w:t>Tekuće donacije od fizičkih osoba sastoje se od dobrovoljnih uplata roditelja učenika škole, koje se koriste za podršku različitim aktivnostima i potrebama škole.</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iz nadležnog proračuna za financiranje rashoda poslovanja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228.386,25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340.226,95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149,0</w:t>
            </w:r>
          </w:p>
        </w:tc>
      </w:tr>
    </w:tbl>
    <w:p>
      <w:pPr>
        <w:spacing w:before="0" w:after="0"/>
      </w:pPr>
    </w:p>
    <w:p>
      <w:pPr>
        <w:jc w:val="both"/>
        <w:pStyle w:val="Normal"/>
        <w:spacing w:line="240" w:lineRule="auto"/>
      </w:pPr>
      <w:r>
        <w:rPr>
          <w:sz w:val="24"/>
          <w:rFonts w:ascii="Times New Roman" w:hAnsi="Times New Roman"/>
        </w:rPr>
        <w:t>Prihodi iz nadležnog proračuna odnose se na financiranje plaća djelatnika u produženom boravku u iznosu od 26.832,11 € te plaće spremačice u iznosu od 2.786,62 €. Zbog povećane potrebe za pomoćnicima u nastavi u okviru projekta Pomagači u nastavi, povećani su prihodi za isplatu njihovih plaća u iznosu od 38.824,17 €. Dodatno su osigurana sredstva za naknade po ugovorima o djelu u iznosu od 4.805,68 €. U tekućoj godini promijenjen je model financiranja prehrane učenika, koju sada predfinancira Grad Virovitica, što je rezultiralo povećanjem prihoda od 85.206,13 €. Prihodi za financiranje redovne djelatnosti iznose 181.772,24 € i koriste se za materijalne troškove, troškove energenata i usluga.</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iz nadležnog proračuna za financiranje rashoda za nabavu nefinancijske imovine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54.860,31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64.509,75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117,6</w:t>
            </w:r>
          </w:p>
        </w:tc>
      </w:tr>
    </w:tbl>
    <w:p>
      <w:pPr>
        <w:spacing w:before="0" w:after="0"/>
      </w:pPr>
    </w:p>
    <w:p>
      <w:pPr>
        <w:jc w:val="both"/>
        <w:pStyle w:val="Normal"/>
        <w:spacing w:line="240" w:lineRule="auto"/>
      </w:pPr>
      <w:r>
        <w:rPr>
          <w:sz w:val="24"/>
          <w:rFonts w:ascii="Times New Roman" w:hAnsi="Times New Roman"/>
        </w:rPr>
        <w:t>Nadležni proračun financirao je nabavu bojlera za sportsku dvoranu u iznosu 8.797,95 €,  a opremu za grijanje, ventilaciju i hlađenje u iznosu od 30.836,00 €,  kombi vozilo za prijevoz hrane do područnih škola u iznosu 24.875,00 € financirano je iz sredstava do minimalnog standarda.</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zaposlene (šifre 311+312+313)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1.319.676,82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1.464.794,56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111,0</w:t>
            </w:r>
          </w:p>
        </w:tc>
      </w:tr>
    </w:tbl>
    <w:p>
      <w:pPr>
        <w:spacing w:before="0" w:after="0"/>
      </w:pPr>
    </w:p>
    <w:p>
      <w:pPr>
        <w:jc w:val="both"/>
        <w:pStyle w:val="Normal"/>
        <w:spacing w:line="240" w:lineRule="auto"/>
      </w:pPr>
      <w:r>
        <w:rPr>
          <w:sz w:val="24"/>
          <w:rFonts w:ascii="Times New Roman" w:hAnsi="Times New Roman"/>
        </w:rPr>
        <w:t>Rashodi za zaposlene odnose se na rashode za plaće zaposlenika u osnovnoškolskom obrazovanju, kao i na neoporezive naknade, nagrade i potpore koje se financiraju iz državnog proračuna. U ovu kategoriju uključene su i plaća pripravnika u okviru programa Poticanje zapošljavanja, plaća spremačice, plaće zaposlenika u produženom boravku, te plaće pomagača u nastavi u okviru tekućeg projekta Korak u život – jednake mogućnosti, faza VII. Sredstva za navedene rashode osigurava nadležni proračun. Povećanju rashoda doprinijelo je povećanje osnovice za obračun plaća zaposlenicima u javnim službama kao i povećanje neoporezivih naknada, nagrada i potpora od 01.siječnja 2025. god.</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Materijalni rashodi (šifre 321+322+323+324+325+329)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300.575,05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308.571,92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102,7</w:t>
            </w:r>
          </w:p>
        </w:tc>
      </w:tr>
    </w:tbl>
    <w:p>
      <w:pPr>
        <w:spacing w:before="0" w:after="0"/>
      </w:pPr>
    </w:p>
    <w:p>
      <w:pPr>
        <w:jc w:val="both"/>
        <w:pStyle w:val="Normal"/>
        <w:spacing w:line="240" w:lineRule="auto"/>
      </w:pPr>
      <w:r>
        <w:rPr>
          <w:sz w:val="24"/>
          <w:rFonts w:ascii="Times New Roman" w:hAnsi="Times New Roman"/>
        </w:rPr>
        <w:t>Materijalni rashodi tijekom izvještajnog razdoblja utrošeni su na službena putovanja, naknade za prijevoz koje zaposlenici ostvaruju te na stručno usavršavanje. Na povećanje materijalnih rashoda utjecalo je i povećanje osnovice za obračun plaća zaposlenicima u javnim službama.
Rashodi za materijal i energiju odnose se na nabavu uredskog materijala, sredstva i materijal za čišćenje te materijala za tekuće i investicijsko održavanje, što uključuje materijal i alat potreban za održavanje školskih objekata. U ovoj kategoriji zabilježeno je povećanje rashoda veće od 50 posto u odnosu na prethodnu godinu. Na porast troškova energije utjecalo je povećanje tarifnih cijena električne energije. U tekućoj godini također je obnovljena zaštitna odjeća i obuća nenastavnog osoblja.
Rashodi za usluge većim su dijelom povezani s uslugama prijevoza učenika, u iznosu od 91.914,35 eura, te uslugama telefona i interneta, te komunalnim uslugama. Poskupljenja u ovim kategorijama doprinijela su ukupnom povećanju rashoda. Značajan rast zabilježen je i kod intelektualnih usluga, koje obuhvaćaju knjigovodstvene usluge, usluge savjetovanja te usluge zaštite od požara. S druge strane, rashodi za usluge tekućeg i investicijskog održavanja, koji uključuju redovite preglede bojlera i dizala te popravke opreme i objekata škole prema potrebi, znatno su se smanjili. Zakupnina opreme odnosi se na mjesečnu naknadu za zakup opreme školske kuhinje. Grafičke i tiskarske usluge najvećim dijelom odnose se na tisak časopisa Hlapić.
Povećanje rashoda za reprezentaciju odnosi se na troškove manifestacije povodom Dana škole. Također je zabilježeno povećanje rashoda za članarine, koje se odnose na članstvo u Hrvatskoj zajednici osnovnih škola te u Udruzi tajnika i računovođa u školi.
Financijski rashodi koji se odnose na kamate za primljene kredite od kreditnih institucija su se smanjili zbog promjenjive kamatne stope.
</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proizvedene dugotrajne imovine (šifre 421+422+423+424+425+426)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30.746,29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66.254,99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215,5</w:t>
            </w:r>
          </w:p>
        </w:tc>
      </w:tr>
    </w:tbl>
    <w:p>
      <w:pPr>
        <w:spacing w:before="0" w:after="0"/>
      </w:pPr>
    </w:p>
    <w:p>
      <w:pPr>
        <w:jc w:val="both"/>
        <w:pStyle w:val="Normal"/>
        <w:spacing w:line="240" w:lineRule="auto"/>
      </w:pPr>
      <w:r>
        <w:rPr>
          <w:sz w:val="24"/>
          <w:rFonts w:ascii="Times New Roman" w:hAnsi="Times New Roman"/>
        </w:rPr>
        <w:t>Povećanje rashoda u iznosu od 115,50 posto odnosi se na nabavu računala i računalne opreme u iznosu od 940,00 eura te na nabavu ploča i uredskog namještaja u iznosu od 771,60 eura. Posebno povećanje rashoda bilježi se u kategoriji nabave opreme za grijanje i hlađenje. U okviru sigurnosnih mjera kupljena je oprema za hlađenje u ukupnom iznosu od 30.836,60 eura, a za potrebe sportske dvorane nabavljen je bojler u vrijednosti od 8.797,95 eura. Također, nadležni proračun sufinancira nabavu dostavnog vozila u iznosu od 24.875,00 eura, koje služi za prijevoz hrane po područnim školama.</w:t>
      </w:r>
    </w:p>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VIŠAK PRIHODA I PRIMITAKA (šifre X678-Y345)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X005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4.481,60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41.170,37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918,7</w:t>
            </w:r>
          </w:p>
        </w:tc>
      </w:tr>
    </w:tbl>
    <w:p>
      <w:pPr>
        <w:spacing w:before="0" w:after="0"/>
      </w:pPr>
    </w:p>
    <w:p>
      <w:pPr>
        <w:jc w:val="both"/>
        <w:pStyle w:val="Normal"/>
        <w:spacing w:line="240" w:lineRule="auto"/>
      </w:pPr>
      <w:r>
        <w:rPr>
          <w:sz w:val="24"/>
          <w:rFonts w:ascii="Times New Roman" w:hAnsi="Times New Roman"/>
        </w:rPr>
        <w:t>Višak prihoda i primitaka na dan 30.06.2025. u iznosu 24.242,88€ odnose se na besplatnu prehranu, pomoći financiranja plaće pripravnika i pomoći za nabavu udžbenika. Višak od vlastitih sredstava iznosi 1.390,00 € dok od pomoći sufinanciranja sredstava za produženi boravak iznosi 9.372,40 € te preneseni višak iz prethodne godine koji iznosi 6.165,09 €, a odnosi se na vlastita i sufinancirana sredstva za produženi boravak.</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13.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Na dan 30.06.2025. nema dospjelih obveza.</w:t>
      </w:r>
    </w:p>
    <w:p/>
    <w:p>
      <w:pPr>
        <w:jc w:val="center"/>
        <w:pStyle w:val="Normal"/>
        <w:spacing w:line="240" w:lineRule="auto"/>
        <w:keepNext/>
      </w:pPr>
      <w:r>
        <w:rPr>
          <w:sz w:val="28"/>
          <w:rFonts w:ascii="Times New Roman" w:hAnsi="Times New Roman"/>
        </w:rPr>
        <w:t>Bilješka 14.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nedospjelih obveza na kraju izvještajnog razdoblja (šifre V010 + ND23 + ND24 + 'ND dio 25,26' + ND27)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185.883,03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Na dan 30. lipnja evidentirane su nedospjele obveze koje se odnose na rashode za plaće i naknade zaposlenika u produženom boravku, spremačica, kao i naknade po ugovorima o djelu u sklopu projekta e-Škola. Također, uključene su plaće pomoćnika u nastavi te plaća pripravnika. Sve navedene obveze financiraju se iz nadležnog proračuna. Preostala je i glavnica dugoročnog kredita namijenjenog financiranju energetske obnove zgrade Osnovne škole Ivane Brlić-Mažuranić u Virovitici. Osim toga, prisutna je i obveza po osnovi refundacije bolovanja za djelatnike škole, koja se provodi putem prebijanja između Ministarstva znanosti i obrazovanja te HZZO-a. Također je ostala obveza za jamčevne pologe iz tekuće godine.</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e5fad5c0cfca4c3c" /></Relationships>
</file>