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1A" w:rsidRDefault="0030771A" w:rsidP="00C6123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OBRAZLOŽENJE </w:t>
      </w:r>
      <w:r w:rsidR="006F710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IZMJENE I DOPUNE FINANCIJSKOG PLANA OSNOVNE ŠKOLE IVANE BRLIĆ-MAŽURANIĆ VIROVITICA ZA 2025. GODINU</w:t>
      </w:r>
    </w:p>
    <w:p w:rsidR="00C6123D" w:rsidRDefault="00C6123D" w:rsidP="00C6123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B23637" w:rsidRPr="00F51F9D" w:rsidRDefault="00B23637" w:rsidP="00F51F9D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51F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UVOD</w:t>
      </w:r>
    </w:p>
    <w:p w:rsidR="00B23637" w:rsidRPr="00716721" w:rsidRDefault="00B23637" w:rsidP="00F51F9D">
      <w:pPr>
        <w:spacing w:line="360" w:lineRule="auto"/>
        <w:jc w:val="both"/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Škola je javna ustanova kojoj je djelatnost odgoj i osnovnoškolsko obrazovanje učenika kronološke dobi od 6 do 15 godina. Djelatnost je uređena Nacionalnim kurikulumom, Državnim pedagoškim standardom te zakonskim i podzakonskim aktima.</w:t>
      </w:r>
    </w:p>
    <w:p w:rsidR="00B23637" w:rsidRPr="00716721" w:rsidRDefault="00B23637" w:rsidP="00716721">
      <w:p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Popis temeljnih propisa na temelju kojih se obavlja djelatnost i poslovi u školi :</w:t>
      </w:r>
    </w:p>
    <w:p w:rsidR="00B23637" w:rsidRPr="00716721" w:rsidRDefault="00B23637" w:rsidP="00716721">
      <w:p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 xml:space="preserve"> </w:t>
      </w:r>
    </w:p>
    <w:p w:rsidR="00B23637" w:rsidRPr="006E5349" w:rsidRDefault="00B23637" w:rsidP="006E534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Zakon o ustanov</w:t>
      </w:r>
      <w:r w:rsidR="005974D2"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ama (NN RH 76/93, 29/97, 47/99,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35/08</w:t>
      </w:r>
      <w:r w:rsidR="005974D2"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, 127/19, 151/22</w:t>
      </w: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) </w:t>
      </w:r>
    </w:p>
    <w:p w:rsidR="005974D2" w:rsidRPr="006E5349" w:rsidRDefault="005974D2" w:rsidP="006E5349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</w:rPr>
        <w:t>Zakon o odgoju i obrazovanju u osnovnoj  i srednjoj školi(NN 87/08. 86/09, 92/10, 105/10, 90/11, 16/12, 86/12, 126/12, 94/13, 152/14, 7/17, 68/16 , 98/19 i 60/20,151/22,155/23,156/23).</w:t>
      </w:r>
      <w:r w:rsidR="00B23637" w:rsidRPr="006E5349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23637" w:rsidRPr="006E5349" w:rsidRDefault="00B23637" w:rsidP="006E5349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</w:rPr>
        <w:t>Zakon o općem upravnom postupku (NNRH broj 47/09</w:t>
      </w:r>
      <w:r w:rsidR="005974D2" w:rsidRPr="006E5349">
        <w:rPr>
          <w:rFonts w:ascii="Times New Roman" w:eastAsia="Calibri" w:hAnsi="Times New Roman" w:cs="Times New Roman"/>
          <w:i/>
          <w:sz w:val="24"/>
          <w:szCs w:val="24"/>
        </w:rPr>
        <w:t>, 110/21</w:t>
      </w:r>
      <w:r w:rsidRPr="006E5349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Državni pedagoški standard osnovnoškolskog sustava odgoja i obrazovanja („Narodne novine“, broj 63/08, 90/10)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Pravilnik o postupku utvrđivanja psihofizičkoga stanja djeteta, učenika te sastavu stručnih povjerenstva ("Narodne novine" RH, broj 67/14)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Pravilnik o broju učenika u redovitom i kombiniranom razrednom odjelu i odgojnoobrazovnoj skupini u osnovnoj školi („Narodne novine“ broj 124/09. i 73/10.)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Pravilnika o osnovnoškolskom i srednjoškolskom odgoju i obrazovanju učenika s teškoćama u razvoju, (NNRH broj 24/15)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Nastavni plan i program za osnovnu školu („Narodne novine“ broj 102/2006.)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Odluka o upisnom području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Odluka o kalendaru rada škole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Godišnji plan i program rada škole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Školski kurikulum i </w:t>
      </w:r>
    </w:p>
    <w:p w:rsidR="00B23637" w:rsidRPr="006E5349" w:rsidRDefault="00B23637" w:rsidP="006E534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6E53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drugi propisi koji uređuju standarde, radne odnose, zaštitu ljudi, imovine i okoliša.</w:t>
      </w:r>
    </w:p>
    <w:p w:rsidR="00B23637" w:rsidRPr="00B23637" w:rsidRDefault="00B23637" w:rsidP="00B2363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23637" w:rsidRPr="00716721" w:rsidRDefault="00B23637" w:rsidP="00716721">
      <w:p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Poslovi neposredne provedbe navedenih propisa:</w:t>
      </w:r>
    </w:p>
    <w:p w:rsidR="00B23637" w:rsidRPr="00B23637" w:rsidRDefault="00B23637" w:rsidP="00B2363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236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Utvrđivanje psihofizičkog stanja djeteta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Upis učenika u prvi razred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Ustroj razrednih odjela za školsku godinu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Pribavljanje suglasnosti ili prethodnog mišljenja osnivača i školskih tijela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Godišnjeg plana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školskog kurikuluma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financijskog plana za kalendarsku godinu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Organizacija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Provedba natječaja i zasnivanje radnih odnosa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Izvođenje odgojno-obrazovnog rada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Izvođenje projekta zaštite zdravlja učenika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lastRenderedPageBreak/>
        <w:t xml:space="preserve">Nadzor izvršenja godišnjeg plana rada škole 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Samovrednovanje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Donošenje mjera za poboljšanje kvalitete rada škole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Praćenje rada učitelja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Stručno usavršavanje radnika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 xml:space="preserve">Provedba smotri i natjecanja učenika          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Školski projekti i školske priredbe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Rad s učenicima u potrebi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Suradnja s roditeljima</w:t>
      </w:r>
    </w:p>
    <w:p w:rsidR="00B23637" w:rsidRPr="00716721" w:rsidRDefault="00B23637" w:rsidP="0071672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Suradnja s drugim ustanovama</w:t>
      </w:r>
    </w:p>
    <w:p w:rsidR="003E1858" w:rsidRDefault="00B23637" w:rsidP="003E1858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716721">
        <w:rPr>
          <w:rFonts w:ascii="Times New Roman" w:hAnsi="Times New Roman" w:cs="Times New Roman"/>
        </w:rPr>
        <w:t>Podnošenje izvješća</w:t>
      </w:r>
    </w:p>
    <w:p w:rsidR="003E1858" w:rsidRPr="003E1858" w:rsidRDefault="003E1858" w:rsidP="003E1858">
      <w:pPr>
        <w:rPr>
          <w:rFonts w:ascii="Times New Roman" w:hAnsi="Times New Roman" w:cs="Times New Roman"/>
        </w:rPr>
      </w:pPr>
    </w:p>
    <w:p w:rsidR="003E1858" w:rsidRPr="003E1858" w:rsidRDefault="003E1858" w:rsidP="003E1858">
      <w:pPr>
        <w:ind w:left="720"/>
        <w:jc w:val="center"/>
        <w:rPr>
          <w:rFonts w:ascii="Times New Roman" w:hAnsi="Times New Roman" w:cs="Times New Roman"/>
        </w:rPr>
      </w:pP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OPĆI DIO</w:t>
      </w:r>
    </w:p>
    <w:p w:rsidR="003E1858" w:rsidRDefault="003E1858" w:rsidP="003E1858">
      <w:pPr>
        <w:pStyle w:val="Odlomakpopisa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Obrazloženje </w:t>
      </w:r>
      <w:r w:rsidR="006F710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prijedloga izmjene i dopune plana prihoda i primitaka, rashoda i izdataka Financijskog plana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Osnovne škole Ivane Brlić</w:t>
      </w:r>
      <w:r w:rsidR="0028328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>-</w:t>
      </w:r>
      <w:r w:rsidR="0028328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Mažuranić Virovitica za 2025. </w:t>
      </w:r>
      <w:r w:rsidR="006F71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godinu</w:t>
      </w:r>
    </w:p>
    <w:p w:rsidR="003E1858" w:rsidRPr="007D406F" w:rsidRDefault="003E1858" w:rsidP="003E1858">
      <w:pPr>
        <w:pStyle w:val="Odlomakpopisa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3E1858" w:rsidRPr="007D406F" w:rsidRDefault="003E1858" w:rsidP="003E1858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 w:rsidRPr="007D406F">
        <w:rPr>
          <w:rFonts w:ascii="Times New Roman" w:hAnsi="Times New Roman" w:cs="Times New Roman"/>
          <w:b/>
          <w:sz w:val="24"/>
        </w:rPr>
        <w:t>SAŽETAK RAČUNA PRIHODA I RASHODA</w:t>
      </w:r>
    </w:p>
    <w:p w:rsidR="004640CF" w:rsidRDefault="00A92397" w:rsidP="00A92397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A92397">
        <w:rPr>
          <w:rFonts w:ascii="Times New Roman" w:hAnsi="Times New Roman" w:cs="Times New Roman"/>
          <w:sz w:val="24"/>
        </w:rPr>
        <w:t xml:space="preserve">U tablici </w:t>
      </w:r>
      <w:r w:rsidRPr="00A92397">
        <w:rPr>
          <w:rStyle w:val="Naglaeno"/>
          <w:rFonts w:ascii="Times New Roman" w:hAnsi="Times New Roman" w:cs="Times New Roman"/>
          <w:b w:val="0"/>
          <w:sz w:val="24"/>
        </w:rPr>
        <w:t>Sažetak računa prihoda i rashoda</w:t>
      </w:r>
      <w:r w:rsidRPr="00A92397">
        <w:rPr>
          <w:rFonts w:ascii="Times New Roman" w:hAnsi="Times New Roman" w:cs="Times New Roman"/>
          <w:sz w:val="24"/>
        </w:rPr>
        <w:t xml:space="preserve"> prikazano je povećanje raspoloživih sredstava za 2025. godinu. Prihodi poslovanja porast će s 3.657.477,00 eura na </w:t>
      </w:r>
      <w:r w:rsidR="00A06EC1">
        <w:rPr>
          <w:rFonts w:ascii="Times New Roman" w:hAnsi="Times New Roman" w:cs="Times New Roman"/>
          <w:sz w:val="24"/>
        </w:rPr>
        <w:t>4.037.157</w:t>
      </w:r>
      <w:r w:rsidR="00AC4BF4">
        <w:rPr>
          <w:rFonts w:ascii="Times New Roman" w:hAnsi="Times New Roman" w:cs="Times New Roman"/>
          <w:sz w:val="24"/>
        </w:rPr>
        <w:t>,00</w:t>
      </w:r>
      <w:r w:rsidRPr="00A92397">
        <w:rPr>
          <w:rFonts w:ascii="Times New Roman" w:hAnsi="Times New Roman" w:cs="Times New Roman"/>
          <w:sz w:val="24"/>
        </w:rPr>
        <w:t xml:space="preserve"> eura, što p</w:t>
      </w:r>
      <w:r w:rsidR="007E0055">
        <w:rPr>
          <w:rFonts w:ascii="Times New Roman" w:hAnsi="Times New Roman" w:cs="Times New Roman"/>
          <w:sz w:val="24"/>
        </w:rPr>
        <w:t>redstavlja povećanje od 10,38</w:t>
      </w:r>
      <w:r w:rsidR="00AC4BF4">
        <w:rPr>
          <w:rFonts w:ascii="Times New Roman" w:hAnsi="Times New Roman" w:cs="Times New Roman"/>
          <w:sz w:val="24"/>
        </w:rPr>
        <w:t xml:space="preserve"> </w:t>
      </w:r>
      <w:r w:rsidRPr="00A92397">
        <w:rPr>
          <w:rFonts w:ascii="Times New Roman" w:hAnsi="Times New Roman" w:cs="Times New Roman"/>
          <w:sz w:val="24"/>
        </w:rPr>
        <w:t xml:space="preserve">%. Povećanje prihoda prati i proporcionalan rast rashoda. Najizraženiji porast zabilježen je kod rashoda poslovanja, koji rastu </w:t>
      </w:r>
      <w:r w:rsidR="007E0055">
        <w:rPr>
          <w:rFonts w:ascii="Times New Roman" w:hAnsi="Times New Roman" w:cs="Times New Roman"/>
          <w:sz w:val="24"/>
        </w:rPr>
        <w:t>10,33</w:t>
      </w:r>
      <w:r w:rsidR="00AC4BF4">
        <w:rPr>
          <w:rFonts w:ascii="Times New Roman" w:hAnsi="Times New Roman" w:cs="Times New Roman"/>
          <w:sz w:val="24"/>
        </w:rPr>
        <w:t xml:space="preserve"> </w:t>
      </w:r>
      <w:r w:rsidRPr="00A92397">
        <w:rPr>
          <w:rFonts w:ascii="Times New Roman" w:hAnsi="Times New Roman" w:cs="Times New Roman"/>
          <w:sz w:val="24"/>
        </w:rPr>
        <w:t>%, dok rashodi za nabavu nefinancijske imovine bilježe porast od 14,51% u odnosu na planirane iznose. Izdaci za financijsku imovinu ostaju na istoj razini kao i prethodno planirani.</w:t>
      </w:r>
    </w:p>
    <w:p w:rsidR="00A92397" w:rsidRPr="00A92397" w:rsidRDefault="00A92397" w:rsidP="00A92397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18713E" w:rsidRPr="007D406F" w:rsidRDefault="0018713E" w:rsidP="001E6719">
      <w:pPr>
        <w:pStyle w:val="Odlomakpopisa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406F">
        <w:rPr>
          <w:rFonts w:ascii="Times New Roman" w:hAnsi="Times New Roman" w:cs="Times New Roman"/>
          <w:b/>
          <w:sz w:val="24"/>
          <w:szCs w:val="24"/>
        </w:rPr>
        <w:t>PRIHODI I RASHODI POSLOVANJA PREMA EKONOMSKOJ KLASIFIKACIJI</w:t>
      </w:r>
    </w:p>
    <w:p w:rsidR="00BA24E1" w:rsidRPr="00BA24E1" w:rsidRDefault="00BA24E1" w:rsidP="00BA24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poslovanja povećavaju se s 3.657.477,00 eura za </w:t>
      </w:r>
      <w:r w:rsidR="00A06EC1">
        <w:rPr>
          <w:rFonts w:ascii="Times New Roman" w:eastAsia="Times New Roman" w:hAnsi="Times New Roman" w:cs="Times New Roman"/>
          <w:sz w:val="24"/>
          <w:szCs w:val="24"/>
          <w:lang w:eastAsia="hr-HR"/>
        </w:rPr>
        <w:t>379.680</w:t>
      </w:r>
      <w:r w:rsidR="00A626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eura, odnosno za 10,38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2025. godini iznose 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A06EC1">
        <w:rPr>
          <w:rFonts w:ascii="Times New Roman" w:eastAsia="Times New Roman" w:hAnsi="Times New Roman" w:cs="Times New Roman"/>
          <w:sz w:val="24"/>
          <w:szCs w:val="24"/>
          <w:lang w:eastAsia="hr-HR"/>
        </w:rPr>
        <w:t>037.157</w:t>
      </w:r>
      <w:r w:rsidR="00A626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eura. Najveći doprinos ukupnom rastu prihoda, u iznosu od 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9,65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imaju prihodi od pomoći iz inozemstva i od subjekata unutar općeg proračuna. Oni se prvenstveno odnose na povećane transfere iz državnog proračuna za isplatu plaća te na kapitalne pomoći namijenjene nabavi udžbenika. Značajan porast zabilježen je i kod prihoda iz nadležnog proračuna, koji rastu za </w:t>
      </w:r>
      <w:r w:rsidR="00A62602">
        <w:rPr>
          <w:rFonts w:ascii="Times New Roman" w:eastAsia="Times New Roman" w:hAnsi="Times New Roman" w:cs="Times New Roman"/>
          <w:sz w:val="24"/>
          <w:szCs w:val="24"/>
          <w:lang w:eastAsia="hr-HR"/>
        </w:rPr>
        <w:t>13,76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povećanje se odnosi na sredstva za plaće zaposlenika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produženom boravku i pomagača u nastavi, te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materijalne rashode. Prihodi od pruženih usluga i primljenih donacija rastu za 35,46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 u odnosu na planirane, dok prihodi od upravnih i administrativnih pristojbi bilježe porast od 4,64%.</w:t>
      </w:r>
    </w:p>
    <w:p w:rsidR="00BA24E1" w:rsidRPr="00BA24E1" w:rsidRDefault="00BA24E1" w:rsidP="00BA24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Rashodi poslovanja povećavaju se s 3.506.080,00 eura za 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>357.868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eura, odnosno za 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>10,20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%. Najveći doprinos rastu rashoda imaju rashodi za zaposlene, koji se povećavaju za 9,56%. Materijalni rashodi bilježe porast od 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>14,00</w:t>
      </w:r>
      <w:r w:rsidR="00AC4B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%, što je rezultat povećanih cijena energenata, troškova tekućih usluga i ostalih materijalnih troškova. Smanje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>nju financijskih rashoda za 18,38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 pridonijela je primjena promjenjive kamatne stope na otplatu kredita. Naknade građanima na temel</w:t>
      </w:r>
      <w:r w:rsidR="00A06EC1">
        <w:rPr>
          <w:rFonts w:ascii="Times New Roman" w:eastAsia="Times New Roman" w:hAnsi="Times New Roman" w:cs="Times New Roman"/>
          <w:sz w:val="24"/>
          <w:szCs w:val="24"/>
          <w:lang w:eastAsia="hr-HR"/>
        </w:rPr>
        <w:t>ju osiguranja povećane su za 182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%. Rashodi za nabavu dugotrajne pr</w:t>
      </w:r>
      <w:r w:rsidR="00F918A0">
        <w:rPr>
          <w:rFonts w:ascii="Times New Roman" w:eastAsia="Times New Roman" w:hAnsi="Times New Roman" w:cs="Times New Roman"/>
          <w:sz w:val="24"/>
          <w:szCs w:val="24"/>
          <w:lang w:eastAsia="hr-HR"/>
        </w:rPr>
        <w:t>oizvedene imovine rastu za 17,86</w:t>
      </w:r>
      <w:r w:rsidRPr="00BA24E1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401AEF" w:rsidRDefault="00401AEF" w:rsidP="004640CF">
      <w:pPr>
        <w:pStyle w:val="Tijeloteksta"/>
      </w:pPr>
    </w:p>
    <w:p w:rsidR="0018713E" w:rsidRPr="007D406F" w:rsidRDefault="0018713E" w:rsidP="0018713E">
      <w:pPr>
        <w:pStyle w:val="Odlomakpopisa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406F">
        <w:rPr>
          <w:rFonts w:ascii="Times New Roman" w:hAnsi="Times New Roman" w:cs="Times New Roman"/>
          <w:b/>
          <w:sz w:val="24"/>
          <w:szCs w:val="24"/>
        </w:rPr>
        <w:t>PRIHODI I RASHODI POSLOVANJA PREMA IZVORIMA FINANCIRANJA</w:t>
      </w:r>
    </w:p>
    <w:p w:rsidR="0018713E" w:rsidRDefault="002D466E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8713E">
        <w:rPr>
          <w:rFonts w:ascii="Times New Roman" w:hAnsi="Times New Roman" w:cs="Times New Roman"/>
          <w:sz w:val="24"/>
          <w:szCs w:val="24"/>
        </w:rPr>
        <w:t xml:space="preserve">kola ostvaruje </w:t>
      </w:r>
      <w:r>
        <w:rPr>
          <w:rFonts w:ascii="Times New Roman" w:hAnsi="Times New Roman" w:cs="Times New Roman"/>
          <w:sz w:val="24"/>
          <w:szCs w:val="24"/>
        </w:rPr>
        <w:t xml:space="preserve">prihode i rashode </w:t>
      </w:r>
      <w:r w:rsidR="0018713E">
        <w:rPr>
          <w:rFonts w:ascii="Times New Roman" w:hAnsi="Times New Roman" w:cs="Times New Roman"/>
          <w:sz w:val="24"/>
          <w:szCs w:val="24"/>
        </w:rPr>
        <w:t>iz različitih izvora financiranja:</w:t>
      </w:r>
    </w:p>
    <w:p w:rsidR="0018713E" w:rsidRPr="003074DA" w:rsidRDefault="0018713E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 xml:space="preserve">Opći prihodi i primici: 1.1. Prihodi od poreza, 1.5.Ostali opći prihodi i primici, 1.7. Pred financiranje – Grad Virovitica, </w:t>
      </w:r>
    </w:p>
    <w:p w:rsidR="0018713E" w:rsidRPr="003074DA" w:rsidRDefault="0018713E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 xml:space="preserve">Vlastiti prihodi: 3.C. Vlastiti prihod, </w:t>
      </w:r>
    </w:p>
    <w:p w:rsidR="0018713E" w:rsidRPr="003074DA" w:rsidRDefault="0018713E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 xml:space="preserve">Prihodi za posebne namjene: 4.G. Prihodi za posebne namjene za proračunske korisnike, </w:t>
      </w:r>
      <w:r w:rsidR="00112DC1" w:rsidRPr="003074DA">
        <w:rPr>
          <w:rFonts w:ascii="Times New Roman" w:hAnsi="Times New Roman" w:cs="Times New Roman"/>
          <w:sz w:val="24"/>
          <w:szCs w:val="24"/>
        </w:rPr>
        <w:t>4.L. Decentralizirane funkcije</w:t>
      </w:r>
    </w:p>
    <w:p w:rsidR="003074DA" w:rsidRPr="003074DA" w:rsidRDefault="003074DA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Pomoći:</w:t>
      </w:r>
      <w:r w:rsidR="00112DC1">
        <w:rPr>
          <w:rFonts w:ascii="Times New Roman" w:hAnsi="Times New Roman" w:cs="Times New Roman"/>
          <w:sz w:val="24"/>
          <w:szCs w:val="24"/>
        </w:rPr>
        <w:t xml:space="preserve"> </w:t>
      </w:r>
      <w:r w:rsidR="0018713E" w:rsidRPr="003074DA">
        <w:rPr>
          <w:rFonts w:ascii="Times New Roman" w:hAnsi="Times New Roman" w:cs="Times New Roman"/>
          <w:sz w:val="24"/>
          <w:szCs w:val="24"/>
        </w:rPr>
        <w:t xml:space="preserve">5.B.Pomoći za proračunske korisnike, </w:t>
      </w:r>
    </w:p>
    <w:p w:rsidR="0018713E" w:rsidRPr="003074DA" w:rsidRDefault="003074DA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 xml:space="preserve">Donacije: </w:t>
      </w:r>
      <w:r w:rsidR="0018713E" w:rsidRPr="003074DA">
        <w:rPr>
          <w:rFonts w:ascii="Times New Roman" w:hAnsi="Times New Roman" w:cs="Times New Roman"/>
          <w:sz w:val="24"/>
          <w:szCs w:val="24"/>
        </w:rPr>
        <w:t>6.9. Donacije</w:t>
      </w:r>
      <w:r w:rsidRPr="003074DA">
        <w:rPr>
          <w:rFonts w:ascii="Times New Roman" w:hAnsi="Times New Roman" w:cs="Times New Roman"/>
          <w:sz w:val="24"/>
          <w:szCs w:val="24"/>
        </w:rPr>
        <w:t xml:space="preserve"> za proračunske korisnike,</w:t>
      </w:r>
    </w:p>
    <w:p w:rsidR="003074DA" w:rsidRDefault="003074DA" w:rsidP="003074DA">
      <w:pPr>
        <w:pStyle w:val="Odlomakpopisa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osiguranja: 7.8. Prihodi od prodaje ili zamjene nefinancijske imovine proračunskog kor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074DA">
        <w:rPr>
          <w:rFonts w:ascii="Times New Roman" w:hAnsi="Times New Roman" w:cs="Times New Roman"/>
          <w:sz w:val="24"/>
          <w:szCs w:val="24"/>
        </w:rPr>
        <w:t>snika.</w:t>
      </w:r>
    </w:p>
    <w:p w:rsidR="007D406F" w:rsidRDefault="007D406F" w:rsidP="007D406F">
      <w:pPr>
        <w:pStyle w:val="Odlomakpopis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DA" w:rsidRPr="007D406F" w:rsidRDefault="003074DA" w:rsidP="003074DA">
      <w:pPr>
        <w:pStyle w:val="Odlomakpopisa"/>
        <w:numPr>
          <w:ilvl w:val="0"/>
          <w:numId w:val="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406F">
        <w:rPr>
          <w:rFonts w:ascii="Times New Roman" w:hAnsi="Times New Roman" w:cs="Times New Roman"/>
          <w:b/>
          <w:sz w:val="24"/>
          <w:szCs w:val="24"/>
        </w:rPr>
        <w:t>RASHODI PREMA FUNKCIJSKOJ KLASIFIKACIJI</w:t>
      </w:r>
    </w:p>
    <w:p w:rsidR="003074DA" w:rsidRPr="003074DA" w:rsidRDefault="003074DA" w:rsidP="003074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DA">
        <w:rPr>
          <w:rFonts w:ascii="Times New Roman" w:hAnsi="Times New Roman" w:cs="Times New Roman"/>
          <w:sz w:val="24"/>
          <w:szCs w:val="24"/>
        </w:rPr>
        <w:t>Prema funkcijskoj klasifikaciji</w:t>
      </w:r>
      <w:r w:rsidR="002D466E">
        <w:rPr>
          <w:rFonts w:ascii="Times New Roman" w:hAnsi="Times New Roman" w:cs="Times New Roman"/>
          <w:sz w:val="24"/>
          <w:szCs w:val="24"/>
        </w:rPr>
        <w:t>,</w:t>
      </w:r>
      <w:r w:rsidRPr="00307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škola</w:t>
      </w:r>
      <w:r w:rsidRPr="003074DA">
        <w:rPr>
          <w:rFonts w:ascii="Times New Roman" w:hAnsi="Times New Roman" w:cs="Times New Roman"/>
          <w:sz w:val="24"/>
          <w:szCs w:val="24"/>
        </w:rPr>
        <w:t xml:space="preserve"> rashode raspoređuje</w:t>
      </w:r>
      <w:r>
        <w:rPr>
          <w:rFonts w:ascii="Times New Roman" w:hAnsi="Times New Roman" w:cs="Times New Roman"/>
          <w:sz w:val="24"/>
          <w:szCs w:val="24"/>
        </w:rPr>
        <w:t xml:space="preserve"> na o</w:t>
      </w:r>
      <w:r w:rsidRPr="003074DA">
        <w:rPr>
          <w:rFonts w:ascii="Times New Roman" w:hAnsi="Times New Roman" w:cs="Times New Roman"/>
          <w:sz w:val="24"/>
          <w:szCs w:val="24"/>
        </w:rPr>
        <w:t>snovno obrazovanje</w:t>
      </w:r>
      <w:r w:rsidR="002D466E">
        <w:rPr>
          <w:rFonts w:ascii="Times New Roman" w:hAnsi="Times New Roman" w:cs="Times New Roman"/>
          <w:sz w:val="24"/>
          <w:szCs w:val="24"/>
        </w:rPr>
        <w:t xml:space="preserve">, a koji se povećavaju za </w:t>
      </w:r>
      <w:r w:rsidR="00F918A0">
        <w:rPr>
          <w:rFonts w:ascii="Times New Roman" w:hAnsi="Times New Roman" w:cs="Times New Roman"/>
          <w:sz w:val="24"/>
          <w:szCs w:val="24"/>
        </w:rPr>
        <w:t>351.540</w:t>
      </w:r>
      <w:r w:rsidR="002D466E">
        <w:rPr>
          <w:rFonts w:ascii="Times New Roman" w:hAnsi="Times New Roman" w:cs="Times New Roman"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13E" w:rsidRPr="0018713E" w:rsidRDefault="0018713E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13E" w:rsidRDefault="0018713E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6F" w:rsidRDefault="007D406F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49" w:rsidRDefault="006E5349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349" w:rsidRDefault="006E5349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6F" w:rsidRDefault="007D406F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6F" w:rsidRPr="0018713E" w:rsidRDefault="007D406F" w:rsidP="001871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637" w:rsidRPr="00C6123D" w:rsidRDefault="00B23637" w:rsidP="00C6123D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6123D" w:rsidRPr="00C6123D" w:rsidRDefault="00C6123D" w:rsidP="00C6123D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II. POSEBNI DIO</w:t>
      </w:r>
    </w:p>
    <w:p w:rsidR="007D406F" w:rsidRDefault="00C6123D" w:rsidP="00C6123D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Obrazloženje </w:t>
      </w:r>
      <w:r w:rsidR="002D466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prijedloga izmjene i dopune plana</w:t>
      </w:r>
      <w:r w:rsidR="003E185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prihoda i primitaka, rashoda i</w:t>
      </w:r>
      <w:r w:rsidRPr="00C612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izdataka Financijskog plana Osnovne škole Ivane Brlić-Mažuranić Virovitica za 2025. </w:t>
      </w:r>
      <w:r w:rsidR="0096219E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godinu</w:t>
      </w:r>
    </w:p>
    <w:p w:rsidR="0096219E" w:rsidRDefault="0096219E" w:rsidP="00C6123D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6219E" w:rsidRDefault="0096219E" w:rsidP="0096219E">
      <w:pPr>
        <w:rPr>
          <w:rFonts w:ascii="Times New Roman" w:eastAsia="Calibri" w:hAnsi="Times New Roman" w:cs="Times New Roman"/>
          <w:sz w:val="24"/>
          <w:szCs w:val="24"/>
        </w:rPr>
      </w:pPr>
      <w:r w:rsidRPr="006E762D">
        <w:rPr>
          <w:rFonts w:ascii="Times New Roman" w:eastAsia="Calibri" w:hAnsi="Times New Roman" w:cs="Times New Roman"/>
          <w:sz w:val="24"/>
          <w:szCs w:val="24"/>
        </w:rPr>
        <w:t xml:space="preserve">Obrazloženje </w:t>
      </w:r>
      <w:r>
        <w:rPr>
          <w:rFonts w:ascii="Times New Roman" w:eastAsia="Calibri" w:hAnsi="Times New Roman" w:cs="Times New Roman"/>
          <w:sz w:val="24"/>
          <w:szCs w:val="24"/>
        </w:rPr>
        <w:t>prijedloga</w:t>
      </w:r>
      <w:r w:rsidRPr="006E762D">
        <w:rPr>
          <w:rFonts w:ascii="Times New Roman" w:eastAsia="Calibri" w:hAnsi="Times New Roman" w:cs="Times New Roman"/>
          <w:sz w:val="24"/>
          <w:szCs w:val="24"/>
        </w:rPr>
        <w:t xml:space="preserve"> izmjen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6E762D">
        <w:rPr>
          <w:rFonts w:ascii="Times New Roman" w:eastAsia="Calibri" w:hAnsi="Times New Roman" w:cs="Times New Roman"/>
          <w:sz w:val="24"/>
          <w:szCs w:val="24"/>
        </w:rPr>
        <w:t>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6E762D">
        <w:rPr>
          <w:rFonts w:ascii="Times New Roman" w:eastAsia="Calibri" w:hAnsi="Times New Roman" w:cs="Times New Roman"/>
          <w:sz w:val="24"/>
          <w:szCs w:val="24"/>
        </w:rPr>
        <w:t xml:space="preserve"> financijskog plana za 2025. godinu.</w:t>
      </w:r>
    </w:p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4120"/>
        <w:gridCol w:w="1540"/>
        <w:gridCol w:w="1420"/>
        <w:gridCol w:w="995"/>
        <w:gridCol w:w="1540"/>
      </w:tblGrid>
      <w:tr w:rsidR="0096219E" w:rsidRPr="006E762D" w:rsidTr="006E1510">
        <w:trPr>
          <w:trHeight w:val="354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19E" w:rsidRPr="006E762D" w:rsidRDefault="0096219E" w:rsidP="008C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/ Aktivnost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9E" w:rsidRPr="006E762D" w:rsidRDefault="0096219E" w:rsidP="008C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19E" w:rsidRPr="006E762D" w:rsidRDefault="0096219E" w:rsidP="008C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19E" w:rsidRPr="006E762D" w:rsidRDefault="0096219E" w:rsidP="008C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19E" w:rsidRPr="006E762D" w:rsidRDefault="0096219E" w:rsidP="008C7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6E1510" w:rsidRPr="006E762D" w:rsidTr="006E1510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510" w:rsidRPr="006E762D" w:rsidRDefault="006E1510" w:rsidP="006E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510" w:rsidRPr="006E762D" w:rsidRDefault="006E1510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3.663.932,00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6E762D" w:rsidRDefault="00F81554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379.983</w:t>
            </w:r>
            <w:r w:rsidR="00156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6E762D" w:rsidRDefault="006C7DE0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6E762D" w:rsidRDefault="00F81554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4.043.915</w:t>
            </w:r>
            <w:r w:rsidR="00AC4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</w:tr>
      <w:tr w:rsidR="006E1510" w:rsidRPr="006E762D" w:rsidTr="0096219E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6E762D" w:rsidRDefault="006E1510" w:rsidP="006E1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Program- POTICANJE ZAPOŠLJAVANJA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6E762D" w:rsidRDefault="006E1510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B748BE" w:rsidRDefault="00B748BE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B748BE" w:rsidRDefault="00B748BE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510" w:rsidRPr="006E762D" w:rsidRDefault="006E1510" w:rsidP="006E1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748BE" w:rsidRPr="006E762D" w:rsidTr="0096219E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Aktivnost - Pripravništvo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748BE" w:rsidRPr="006E762D" w:rsidTr="006E1510">
        <w:trPr>
          <w:trHeight w:val="255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- ERASMUS +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4.140,00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030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4.141</w:t>
            </w:r>
            <w:r w:rsidR="00B748BE"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748BE" w:rsidRPr="006E762D" w:rsidTr="006E1510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C.A.R.E.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4.140,00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030E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,00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4.141</w:t>
            </w:r>
            <w:r w:rsidR="00B748BE" w:rsidRPr="006E76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748BE" w:rsidRPr="006E762D" w:rsidTr="006E1510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- OSNOVNO ŠKOLSTVO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3.559.392,00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62602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351.5</w:t>
            </w:r>
            <w:r w:rsidR="00F81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  <w:r w:rsidR="00AC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62602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F8155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3.910.932</w:t>
            </w:r>
            <w:r w:rsidR="00AC4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748BE" w:rsidRPr="006E762D" w:rsidTr="006E1510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04471163"/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Materijalni i financijski rashodi do minimalnog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249.300,00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6C7DE0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  <w:r w:rsidR="00B748BE"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6C7DE0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249.302</w:t>
            </w:r>
            <w:r w:rsidR="00B748BE"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bookmarkEnd w:id="1"/>
      <w:tr w:rsidR="00B748BE" w:rsidRPr="006E762D" w:rsidTr="006E1510">
        <w:trPr>
          <w:trHeight w:val="436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Materijalni i financijski rashodi iznad minimalnog standarda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267.640,00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59.814</w:t>
            </w:r>
            <w:r w:rsidR="00AC4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62602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22,35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327.454</w:t>
            </w:r>
            <w:r w:rsidR="00A6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748BE" w:rsidRPr="006E762D" w:rsidTr="0096219E">
        <w:trPr>
          <w:trHeight w:val="436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Aktivnost-Rashodi za zaposlene iznad minimalnog standarda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-350,00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73660F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-5,74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5.750,00</w:t>
            </w:r>
          </w:p>
        </w:tc>
      </w:tr>
      <w:tr w:rsidR="00B748BE" w:rsidRPr="006E762D" w:rsidTr="006E1510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Produženi boravak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108.200,00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108.200,00</w:t>
            </w:r>
          </w:p>
        </w:tc>
      </w:tr>
      <w:tr w:rsidR="00B748BE" w:rsidRPr="006E762D" w:rsidTr="006E1510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Aktivnost - Rashodi za zaposlene-državni proračun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73660F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2.798.00</w:t>
            </w:r>
            <w:r w:rsidR="00B748BE"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274.100,00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9,8</w:t>
            </w:r>
            <w:r w:rsidR="00B6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3.072.100,00</w:t>
            </w:r>
          </w:p>
        </w:tc>
      </w:tr>
      <w:tr w:rsidR="00B748BE" w:rsidRPr="006E762D" w:rsidTr="006E1510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 - Nabava nefinancijske imovine do min.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68.875,00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68.875,00</w:t>
            </w:r>
          </w:p>
        </w:tc>
      </w:tr>
      <w:tr w:rsidR="00B748BE" w:rsidRPr="006E762D" w:rsidTr="006E1510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Kapitalni projekt - Nabava nefinancijske imovine iznad min.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54.977,00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17.974</w:t>
            </w:r>
            <w:r w:rsidR="00B74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6741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72.951</w:t>
            </w:r>
            <w:r w:rsidR="00B74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</w:tr>
      <w:tr w:rsidR="00B748BE" w:rsidRPr="006E762D" w:rsidTr="0096219E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Održavanje školskih objekata do minimalnog standarda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748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B748BE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6.300,00</w:t>
            </w:r>
          </w:p>
        </w:tc>
      </w:tr>
      <w:tr w:rsidR="00B748BE" w:rsidRPr="006E762D" w:rsidTr="006E1510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- POMAGAČI U NASTAVI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73.400,00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C4BF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26</w:t>
            </w:r>
            <w:r w:rsidR="00B748BE" w:rsidRPr="006E15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C4BF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C4BF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</w:t>
            </w:r>
            <w:r w:rsidR="00B74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.800,00</w:t>
            </w:r>
          </w:p>
        </w:tc>
      </w:tr>
      <w:tr w:rsidR="00B748BE" w:rsidRPr="006E762D" w:rsidTr="006E1510">
        <w:trPr>
          <w:trHeight w:val="510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Korak u život jednakih mogućnosti-faza VI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73.400,00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1510" w:rsidRDefault="00AC4BF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26</w:t>
            </w:r>
            <w:r w:rsidR="00B748B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.400,00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C4BF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35,97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AC4BF4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99</w:t>
            </w:r>
            <w:r w:rsidR="00B748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.800,00</w:t>
            </w:r>
          </w:p>
        </w:tc>
      </w:tr>
      <w:tr w:rsidR="00B748BE" w:rsidRPr="006E762D" w:rsidTr="006E1510">
        <w:trPr>
          <w:trHeight w:val="540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 – PROVEDBA MJERA DEMOGRAFSKE POLITIKE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2.042,00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102,10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4.042,00</w:t>
            </w:r>
          </w:p>
        </w:tc>
      </w:tr>
      <w:tr w:rsidR="00B748BE" w:rsidRPr="006E762D" w:rsidTr="006E1510">
        <w:trPr>
          <w:trHeight w:val="282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Tekući projekt - Edukativne, kulturne i sportske aktivnosti djece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E76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2.042,00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102,10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48BE" w:rsidRPr="006E762D" w:rsidRDefault="00B748BE" w:rsidP="00B748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4.042,00</w:t>
            </w:r>
          </w:p>
        </w:tc>
      </w:tr>
    </w:tbl>
    <w:p w:rsidR="00B23637" w:rsidRDefault="00B23637" w:rsidP="00B2363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15859" w:rsidRDefault="00615859" w:rsidP="00062D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62DA8" w:rsidRDefault="00062DA8" w:rsidP="00062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6D4">
        <w:rPr>
          <w:rFonts w:ascii="Times New Roman" w:eastAsia="Calibri" w:hAnsi="Times New Roman" w:cs="Times New Roman"/>
          <w:b/>
          <w:sz w:val="24"/>
          <w:szCs w:val="24"/>
          <w:u w:val="single"/>
        </w:rPr>
        <w:t>U okviru PROGRAMA- Poticanje zapošljavanja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plan ostaje ne promijenjen i iznosi 25.000,00 eura. </w:t>
      </w:r>
    </w:p>
    <w:p w:rsidR="00062DA8" w:rsidRDefault="00062DA8" w:rsidP="00062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8F5">
        <w:rPr>
          <w:rFonts w:ascii="Times New Roman" w:eastAsia="Calibri" w:hAnsi="Times New Roman" w:cs="Times New Roman"/>
          <w:i/>
          <w:sz w:val="24"/>
          <w:szCs w:val="24"/>
        </w:rPr>
        <w:t>Aktivnost Pripravništvo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62DA8">
        <w:rPr>
          <w:rFonts w:ascii="Times New Roman" w:eastAsia="Calibri" w:hAnsi="Times New Roman" w:cs="Times New Roman"/>
          <w:sz w:val="24"/>
          <w:szCs w:val="24"/>
        </w:rPr>
        <w:t>-</w:t>
      </w:r>
      <w:r w:rsidRPr="008978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plan ostaje ne promijenjen i iznosi 25.000,00 eura. </w:t>
      </w:r>
    </w:p>
    <w:p w:rsidR="002E20CF" w:rsidRDefault="002E20CF" w:rsidP="00062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20CF" w:rsidRDefault="002E20CF" w:rsidP="00062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DA8" w:rsidRPr="008978F5" w:rsidRDefault="00062DA8" w:rsidP="00062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DA8" w:rsidRDefault="00062DA8" w:rsidP="00062D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6D4">
        <w:rPr>
          <w:rFonts w:ascii="Times New Roman" w:eastAsia="Calibri" w:hAnsi="Times New Roman" w:cs="Times New Roman"/>
          <w:b/>
          <w:sz w:val="24"/>
          <w:szCs w:val="24"/>
          <w:u w:val="single"/>
        </w:rPr>
        <w:t>U okviru PROGRAMA- Erasmus</w:t>
      </w:r>
      <w:r w:rsidRPr="003C6AA9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81554">
        <w:rPr>
          <w:rFonts w:ascii="Times New Roman" w:eastAsia="Calibri" w:hAnsi="Times New Roman" w:cs="Times New Roman"/>
          <w:sz w:val="24"/>
          <w:szCs w:val="24"/>
        </w:rPr>
        <w:t xml:space="preserve"> plan se povećava za 1 euro i </w:t>
      </w:r>
      <w:r>
        <w:rPr>
          <w:rFonts w:ascii="Times New Roman" w:eastAsia="Calibri" w:hAnsi="Times New Roman" w:cs="Times New Roman"/>
          <w:sz w:val="24"/>
          <w:szCs w:val="24"/>
        </w:rPr>
        <w:t xml:space="preserve">iznosi 4.140,00 eura. </w:t>
      </w:r>
    </w:p>
    <w:p w:rsidR="002E20CF" w:rsidRPr="00F81554" w:rsidRDefault="00F81554" w:rsidP="00062D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Razlog povećanja je zbog zaokruživanja decimala.</w:t>
      </w:r>
    </w:p>
    <w:p w:rsidR="00F81554" w:rsidRDefault="00F81554" w:rsidP="00062DA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20CF" w:rsidRDefault="002E20CF" w:rsidP="00062DA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DA8" w:rsidRDefault="00062DA8" w:rsidP="00062D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6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U okviru PROGRAMA - Osnovno školstvo</w:t>
      </w:r>
      <w:r w:rsidRPr="0068676B">
        <w:rPr>
          <w:rFonts w:ascii="Times New Roman" w:eastAsia="Calibri" w:hAnsi="Times New Roman" w:cs="Times New Roman"/>
          <w:sz w:val="24"/>
          <w:szCs w:val="24"/>
        </w:rPr>
        <w:t xml:space="preserve"> - povećavaju se rashodi u iznosu od </w:t>
      </w:r>
      <w:r w:rsidR="00F81554">
        <w:rPr>
          <w:rFonts w:ascii="Times New Roman" w:eastAsia="Calibri" w:hAnsi="Times New Roman" w:cs="Times New Roman"/>
          <w:sz w:val="24"/>
          <w:szCs w:val="24"/>
        </w:rPr>
        <w:t>351.540</w:t>
      </w:r>
      <w:r w:rsidR="007E0055">
        <w:rPr>
          <w:rFonts w:ascii="Times New Roman" w:eastAsia="Calibri" w:hAnsi="Times New Roman" w:cs="Times New Roman"/>
          <w:sz w:val="24"/>
          <w:szCs w:val="24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eura.</w:t>
      </w:r>
    </w:p>
    <w:p w:rsidR="00062DA8" w:rsidRDefault="00062DA8" w:rsidP="00156D9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AA9">
        <w:rPr>
          <w:rFonts w:ascii="Times New Roman" w:eastAsia="Calibri" w:hAnsi="Times New Roman" w:cs="Times New Roman"/>
          <w:i/>
          <w:sz w:val="24"/>
          <w:szCs w:val="24"/>
        </w:rPr>
        <w:t>Aktivnost - Materijalni i financijski rashodi do minimalnog standarda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DE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DE0">
        <w:rPr>
          <w:rFonts w:ascii="Times New Roman" w:eastAsia="Calibri" w:hAnsi="Times New Roman" w:cs="Times New Roman"/>
          <w:sz w:val="24"/>
          <w:szCs w:val="24"/>
        </w:rPr>
        <w:t>planirana sredstva povećavaju se za 2,00 eura zbog povrata više plaćenih sredstava iz prethodnih godina</w:t>
      </w:r>
      <w:r w:rsidR="002D72A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2DA8" w:rsidRDefault="00062DA8" w:rsidP="00156D9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AA9">
        <w:rPr>
          <w:rFonts w:ascii="Times New Roman" w:eastAsia="Calibri" w:hAnsi="Times New Roman" w:cs="Times New Roman"/>
          <w:i/>
          <w:sz w:val="24"/>
          <w:szCs w:val="24"/>
        </w:rPr>
        <w:t>Aktivnost- Materijalni i financijski rashodi iznad minimalnog standarda</w:t>
      </w:r>
      <w:r w:rsidRPr="0068676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planirana sredstva povećavaju se za </w:t>
      </w:r>
      <w:r w:rsidR="00A62602">
        <w:rPr>
          <w:rFonts w:ascii="Times New Roman" w:eastAsia="Calibri" w:hAnsi="Times New Roman" w:cs="Times New Roman"/>
          <w:sz w:val="24"/>
          <w:szCs w:val="24"/>
        </w:rPr>
        <w:t>59.8</w:t>
      </w:r>
      <w:r w:rsidR="00F81554">
        <w:rPr>
          <w:rFonts w:ascii="Times New Roman" w:eastAsia="Calibri" w:hAnsi="Times New Roman" w:cs="Times New Roman"/>
          <w:sz w:val="24"/>
          <w:szCs w:val="24"/>
        </w:rPr>
        <w:t>14</w:t>
      </w:r>
      <w:r w:rsidR="00E51205">
        <w:rPr>
          <w:rFonts w:ascii="Times New Roman" w:eastAsia="Calibri" w:hAnsi="Times New Roman" w:cs="Times New Roman"/>
          <w:sz w:val="24"/>
          <w:szCs w:val="24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,00 eura. Povećanje se odnosi na </w:t>
      </w:r>
      <w:r w:rsidR="002D72A6">
        <w:rPr>
          <w:rFonts w:ascii="Times New Roman" w:eastAsia="Calibri" w:hAnsi="Times New Roman" w:cs="Times New Roman"/>
          <w:sz w:val="24"/>
          <w:szCs w:val="24"/>
        </w:rPr>
        <w:t>povećanje rashoda za proc</w:t>
      </w:r>
      <w:r w:rsidR="00E51205">
        <w:rPr>
          <w:rFonts w:ascii="Times New Roman" w:eastAsia="Calibri" w:hAnsi="Times New Roman" w:cs="Times New Roman"/>
          <w:sz w:val="24"/>
          <w:szCs w:val="24"/>
        </w:rPr>
        <w:t xml:space="preserve">jenu prosudbe ugroženosti škole, prijevoza učenika </w:t>
      </w:r>
      <w:r w:rsidR="002D72A6">
        <w:rPr>
          <w:rFonts w:ascii="Times New Roman" w:eastAsia="Calibri" w:hAnsi="Times New Roman" w:cs="Times New Roman"/>
          <w:sz w:val="24"/>
          <w:szCs w:val="24"/>
        </w:rPr>
        <w:t>te ostalih materijalnih rashoda kao što su rashodi za tekuće održavanje škole, povećanje rashoda za osiguranje učenika, radne bilježnice.</w:t>
      </w:r>
    </w:p>
    <w:p w:rsidR="0096219E" w:rsidRPr="002D72A6" w:rsidRDefault="002D72A6" w:rsidP="00156D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6AA9">
        <w:rPr>
          <w:rFonts w:ascii="Times New Roman" w:eastAsia="Calibri" w:hAnsi="Times New Roman" w:cs="Times New Roman"/>
          <w:i/>
          <w:sz w:val="24"/>
          <w:szCs w:val="24"/>
        </w:rPr>
        <w:t xml:space="preserve">Aktivnost- </w:t>
      </w:r>
      <w:r>
        <w:rPr>
          <w:rFonts w:ascii="Times New Roman" w:eastAsia="Calibri" w:hAnsi="Times New Roman" w:cs="Times New Roman"/>
          <w:i/>
          <w:sz w:val="24"/>
          <w:szCs w:val="24"/>
        </w:rPr>
        <w:t>Rashodi za zaposlene</w:t>
      </w:r>
      <w:r w:rsidRPr="003C6AA9">
        <w:rPr>
          <w:rFonts w:ascii="Times New Roman" w:eastAsia="Calibri" w:hAnsi="Times New Roman" w:cs="Times New Roman"/>
          <w:i/>
          <w:sz w:val="24"/>
          <w:szCs w:val="24"/>
        </w:rPr>
        <w:t xml:space="preserve"> iznad minimalnog standarda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 w:rsidR="006A6E06">
        <w:rPr>
          <w:rFonts w:ascii="Times New Roman" w:eastAsia="Calibri" w:hAnsi="Times New Roman" w:cs="Times New Roman"/>
          <w:sz w:val="24"/>
          <w:szCs w:val="24"/>
        </w:rPr>
        <w:t>sredstva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 smanjuju za 350,00 eura, a što se odnosi na plaću spremačice čija je plaća financirana iz sredstava nadležnog proračuna.</w:t>
      </w:r>
    </w:p>
    <w:p w:rsidR="002D72A6" w:rsidRDefault="002D72A6" w:rsidP="00156D9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AA9">
        <w:rPr>
          <w:rFonts w:ascii="Times New Roman" w:eastAsia="Calibri" w:hAnsi="Times New Roman" w:cs="Times New Roman"/>
          <w:i/>
          <w:sz w:val="24"/>
          <w:szCs w:val="24"/>
        </w:rPr>
        <w:t xml:space="preserve">Aktivnost-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Produženi boravak - </w:t>
      </w:r>
      <w:r>
        <w:rPr>
          <w:rFonts w:ascii="Times New Roman" w:eastAsia="Calibri" w:hAnsi="Times New Roman" w:cs="Times New Roman"/>
          <w:sz w:val="24"/>
          <w:szCs w:val="24"/>
        </w:rPr>
        <w:t>plan ostaje ne promijenjen i iznosi 108.200,00 eura.</w:t>
      </w:r>
    </w:p>
    <w:p w:rsidR="00156D9F" w:rsidRPr="00156D9F" w:rsidRDefault="008577BB" w:rsidP="00156D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6D9F">
        <w:rPr>
          <w:rFonts w:ascii="Times New Roman" w:eastAsia="Calibri" w:hAnsi="Times New Roman" w:cs="Times New Roman"/>
          <w:i/>
          <w:sz w:val="24"/>
          <w:szCs w:val="24"/>
        </w:rPr>
        <w:t xml:space="preserve">Aktivnost- Državni proračun </w:t>
      </w:r>
      <w:r w:rsidR="006A6E06" w:rsidRPr="00156D9F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156D9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A6E06" w:rsidRPr="00156D9F">
        <w:rPr>
          <w:rFonts w:ascii="Times New Roman" w:eastAsia="Calibri" w:hAnsi="Times New Roman" w:cs="Times New Roman"/>
          <w:sz w:val="24"/>
          <w:szCs w:val="24"/>
        </w:rPr>
        <w:t xml:space="preserve">planirana sredstva povećavaju se za 274.100,00 eura. </w:t>
      </w:r>
      <w:r w:rsidR="00156D9F" w:rsidRPr="00156D9F">
        <w:rPr>
          <w:rFonts w:ascii="Times New Roman" w:hAnsi="Times New Roman" w:cs="Times New Roman"/>
        </w:rPr>
        <w:t>Planirana sredstva povećavaju se za 274.100,00 eura. Povećanje proizlazi iz rasta obračunskog koeficijenta i osnovice za plaće, sukladno odluci Vlade.</w:t>
      </w:r>
    </w:p>
    <w:p w:rsidR="006A6E06" w:rsidRDefault="006A6E06" w:rsidP="00156D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Kapitalni projekt - Nabava nefinancijske imovine do min.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s</w:t>
      </w: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tandarda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plan ostaje ne promijenjen i iznosi 68.875,00 eura.</w:t>
      </w:r>
    </w:p>
    <w:p w:rsidR="0096219E" w:rsidRDefault="006A6E06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Kapitalni projekt - Nabava nefinancijske imovine iznad min. standarda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planirana sredstva povećavaju se za 17.973,00 eura. Povećanje se odnosi na kupnju opreme za videonadzor, prikolicu, povećane cijene udžbenika, računala i pametne ploče.</w:t>
      </w:r>
    </w:p>
    <w:p w:rsidR="006A6E06" w:rsidRDefault="006A6E06" w:rsidP="00156D9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Tekući projekt - Održavanje školskih objekata do minimalnog standarda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plan ostaje ne promijenjen i iznosi 6.300,00 eura.</w:t>
      </w:r>
    </w:p>
    <w:p w:rsidR="002E20CF" w:rsidRDefault="002E20CF" w:rsidP="00156D9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E06" w:rsidRDefault="006A6E06" w:rsidP="00156D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6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U okviru PROGRAMA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–</w:t>
      </w:r>
      <w:r w:rsidRPr="0068676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Pomagači u nastavi – </w:t>
      </w:r>
      <w:r w:rsidR="007E0055">
        <w:rPr>
          <w:rFonts w:ascii="Times New Roman" w:eastAsia="Calibri" w:hAnsi="Times New Roman" w:cs="Times New Roman"/>
          <w:sz w:val="24"/>
          <w:szCs w:val="24"/>
        </w:rPr>
        <w:t>povećavaju se rashodi za 26</w:t>
      </w:r>
      <w:r>
        <w:rPr>
          <w:rFonts w:ascii="Times New Roman" w:eastAsia="Calibri" w:hAnsi="Times New Roman" w:cs="Times New Roman"/>
          <w:sz w:val="24"/>
          <w:szCs w:val="24"/>
        </w:rPr>
        <w:t>.400,00 eura.</w:t>
      </w:r>
    </w:p>
    <w:p w:rsidR="007E0055" w:rsidRDefault="007E0055" w:rsidP="007E00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Tekući projekt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–</w:t>
      </w: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Korak u život jednakih mogućnosti faza VII- </w:t>
      </w:r>
      <w:r>
        <w:rPr>
          <w:rFonts w:ascii="Times New Roman" w:hAnsi="Times New Roman" w:cs="Times New Roman"/>
        </w:rPr>
        <w:t>p</w:t>
      </w:r>
      <w:r w:rsidRPr="00156D9F">
        <w:rPr>
          <w:rFonts w:ascii="Times New Roman" w:hAnsi="Times New Roman" w:cs="Times New Roman"/>
        </w:rPr>
        <w:t xml:space="preserve">lanirana sredstva povećavaju se za </w:t>
      </w:r>
      <w:r>
        <w:rPr>
          <w:rFonts w:ascii="Times New Roman" w:hAnsi="Times New Roman" w:cs="Times New Roman"/>
        </w:rPr>
        <w:t>26.400,00</w:t>
      </w:r>
      <w:r w:rsidRPr="00156D9F">
        <w:rPr>
          <w:rFonts w:ascii="Times New Roman" w:hAnsi="Times New Roman" w:cs="Times New Roman"/>
        </w:rPr>
        <w:t xml:space="preserve"> eura. </w:t>
      </w:r>
      <w:r>
        <w:rPr>
          <w:rFonts w:ascii="Times New Roman" w:hAnsi="Times New Roman" w:cs="Times New Roman"/>
        </w:rPr>
        <w:t>P</w:t>
      </w:r>
      <w:r w:rsidRPr="00156D9F">
        <w:rPr>
          <w:rFonts w:ascii="Times New Roman" w:hAnsi="Times New Roman" w:cs="Times New Roman"/>
        </w:rPr>
        <w:t>lan se povećava zbog osiguranja dodatnih sredstava za isplatu plaća za 10 pomoćnika u nastavi, u odnosu na prethodno planiranih 6 pomoćnika.</w:t>
      </w:r>
    </w:p>
    <w:p w:rsidR="002E20CF" w:rsidRDefault="002E20CF" w:rsidP="007E00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20CF" w:rsidRDefault="002E20CF" w:rsidP="007E00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20CF" w:rsidRDefault="002E20CF" w:rsidP="007E00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20CF" w:rsidRDefault="002E20CF" w:rsidP="007E00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E20CF" w:rsidRDefault="002E20CF" w:rsidP="007E00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0055" w:rsidRPr="007E0055" w:rsidRDefault="007E0055" w:rsidP="007E005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76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U okviru PROGRAMA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–</w:t>
      </w:r>
      <w:r w:rsidRPr="0068676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PROVEDBA MJERA DEMOGRAFSKE POLITIKE – </w:t>
      </w:r>
      <w:r>
        <w:rPr>
          <w:rFonts w:ascii="Times New Roman" w:eastAsia="Calibri" w:hAnsi="Times New Roman" w:cs="Times New Roman"/>
          <w:sz w:val="24"/>
          <w:szCs w:val="24"/>
        </w:rPr>
        <w:t>povećavaju se rashodi za 2.042,00 eura.</w:t>
      </w:r>
    </w:p>
    <w:p w:rsidR="00156D9F" w:rsidRDefault="006A6E06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 w:rsidRPr="006A6E06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Tekući projekt - Edukativne, kulturne i sportske aktivnosti djece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 </w:t>
      </w:r>
      <w:r w:rsidR="00E53B0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>–</w:t>
      </w:r>
      <w:r w:rsidR="007E0055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r-HR"/>
        </w:rPr>
        <w:t xml:space="preserve"> </w:t>
      </w:r>
      <w:r w:rsidR="007E0055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plan se povećava zbog kasnijeg utvrđivanja dodatnog izvršitelja zaduženog za organizaciju provedbe aktivnosti.</w:t>
      </w:r>
    </w:p>
    <w:p w:rsidR="007E0055" w:rsidRDefault="007E0055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</w:p>
    <w:p w:rsidR="00615859" w:rsidRPr="007E0055" w:rsidRDefault="00615859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</w:p>
    <w:p w:rsidR="006E5349" w:rsidRDefault="00C01B9D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KLASA: 400-02/25-02/3</w:t>
      </w:r>
    </w:p>
    <w:p w:rsidR="00C01B9D" w:rsidRDefault="00C01B9D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URBROJ: 2189-44-25-1</w:t>
      </w:r>
    </w:p>
    <w:p w:rsidR="00C01B9D" w:rsidRDefault="00C01B9D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</w:p>
    <w:p w:rsidR="00615859" w:rsidRPr="00156D9F" w:rsidRDefault="00615859" w:rsidP="00156D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</w:pPr>
    </w:p>
    <w:p w:rsidR="00756565" w:rsidRDefault="00756565" w:rsidP="00756565">
      <w:pPr>
        <w:rPr>
          <w:rFonts w:ascii="Times New Roman" w:hAnsi="Times New Roman" w:cs="Times New Roman"/>
        </w:rPr>
      </w:pPr>
      <w:r w:rsidRPr="00400E40">
        <w:rPr>
          <w:rFonts w:ascii="Times New Roman" w:hAnsi="Times New Roman" w:cs="Times New Roman"/>
        </w:rPr>
        <w:t>U Virovitici</w:t>
      </w:r>
      <w:r w:rsidR="004B7CD8">
        <w:rPr>
          <w:rFonts w:ascii="Times New Roman" w:hAnsi="Times New Roman" w:cs="Times New Roman"/>
        </w:rPr>
        <w:t>,</w:t>
      </w:r>
      <w:r w:rsidRPr="00400E40">
        <w:rPr>
          <w:rFonts w:ascii="Times New Roman" w:hAnsi="Times New Roman" w:cs="Times New Roman"/>
        </w:rPr>
        <w:t xml:space="preserve"> </w:t>
      </w:r>
      <w:r w:rsidR="008665A8">
        <w:rPr>
          <w:rFonts w:ascii="Times New Roman" w:hAnsi="Times New Roman" w:cs="Times New Roman"/>
        </w:rPr>
        <w:t>08</w:t>
      </w:r>
      <w:r w:rsidR="006C7DE0">
        <w:rPr>
          <w:rFonts w:ascii="Times New Roman" w:hAnsi="Times New Roman" w:cs="Times New Roman"/>
        </w:rPr>
        <w:t>.12</w:t>
      </w:r>
      <w:r w:rsidR="00B748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2025.</w:t>
      </w:r>
    </w:p>
    <w:p w:rsidR="002E20CF" w:rsidRDefault="002E20CF" w:rsidP="00756565">
      <w:pPr>
        <w:rPr>
          <w:rFonts w:ascii="Times New Roman" w:hAnsi="Times New Roman" w:cs="Times New Roman"/>
        </w:rPr>
      </w:pPr>
    </w:p>
    <w:p w:rsidR="006C7DE0" w:rsidRDefault="006C7DE0" w:rsidP="00756565">
      <w:pPr>
        <w:rPr>
          <w:rFonts w:ascii="Times New Roman" w:hAnsi="Times New Roman" w:cs="Times New Roman"/>
        </w:rPr>
      </w:pPr>
    </w:p>
    <w:p w:rsidR="006C7DE0" w:rsidRDefault="006C7DE0" w:rsidP="00756565">
      <w:pPr>
        <w:rPr>
          <w:rFonts w:ascii="Times New Roman" w:hAnsi="Times New Roman" w:cs="Times New Roman"/>
        </w:rPr>
      </w:pPr>
    </w:p>
    <w:p w:rsidR="006C7DE0" w:rsidRDefault="006C7DE0" w:rsidP="00756565">
      <w:pPr>
        <w:rPr>
          <w:rFonts w:ascii="Times New Roman" w:hAnsi="Times New Roman" w:cs="Times New Roman"/>
        </w:rPr>
      </w:pPr>
    </w:p>
    <w:p w:rsidR="00615859" w:rsidRPr="00400E40" w:rsidRDefault="00615859" w:rsidP="00756565">
      <w:pPr>
        <w:rPr>
          <w:rFonts w:ascii="Times New Roman" w:hAnsi="Times New Roman" w:cs="Times New Roman"/>
        </w:rPr>
      </w:pPr>
    </w:p>
    <w:p w:rsidR="00615859" w:rsidRDefault="00615859" w:rsidP="00756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VODITELJICA RAČUNOVODSTVA</w:t>
      </w:r>
      <w:r w:rsidR="00C01B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RAVNATELJ</w:t>
      </w:r>
    </w:p>
    <w:p w:rsidR="00756565" w:rsidRPr="00330792" w:rsidRDefault="00615859" w:rsidP="00756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Tea Kunkić, mag. oec</w:t>
      </w:r>
      <w:r w:rsidR="00C01B9D">
        <w:rPr>
          <w:rFonts w:ascii="Times New Roman" w:hAnsi="Times New Roman" w:cs="Times New Roman"/>
        </w:rPr>
        <w:tab/>
      </w:r>
      <w:r w:rsidR="00756565" w:rsidRPr="00400E40">
        <w:rPr>
          <w:rFonts w:ascii="Times New Roman" w:hAnsi="Times New Roman" w:cs="Times New Roman"/>
        </w:rPr>
        <w:tab/>
      </w:r>
      <w:r w:rsidR="00756565" w:rsidRPr="00400E40">
        <w:rPr>
          <w:rFonts w:ascii="Times New Roman" w:hAnsi="Times New Roman" w:cs="Times New Roman"/>
        </w:rPr>
        <w:tab/>
      </w:r>
      <w:r w:rsidR="00756565">
        <w:rPr>
          <w:rFonts w:ascii="Times New Roman" w:hAnsi="Times New Roman" w:cs="Times New Roman"/>
        </w:rPr>
        <w:t xml:space="preserve">             </w:t>
      </w:r>
      <w:r w:rsidR="00C01B9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Ivica Tomljanović, prof.</w:t>
      </w:r>
    </w:p>
    <w:p w:rsidR="00756565" w:rsidRPr="00B23637" w:rsidRDefault="00756565" w:rsidP="006425A7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sectPr w:rsidR="00756565" w:rsidRPr="00B2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36" w:rsidRDefault="00433236" w:rsidP="00716721">
      <w:pPr>
        <w:spacing w:after="0" w:line="240" w:lineRule="auto"/>
      </w:pPr>
      <w:r>
        <w:separator/>
      </w:r>
    </w:p>
  </w:endnote>
  <w:endnote w:type="continuationSeparator" w:id="0">
    <w:p w:rsidR="00433236" w:rsidRDefault="00433236" w:rsidP="0071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36" w:rsidRDefault="00433236" w:rsidP="00716721">
      <w:pPr>
        <w:spacing w:after="0" w:line="240" w:lineRule="auto"/>
      </w:pPr>
      <w:r>
        <w:separator/>
      </w:r>
    </w:p>
  </w:footnote>
  <w:footnote w:type="continuationSeparator" w:id="0">
    <w:p w:rsidR="00433236" w:rsidRDefault="00433236" w:rsidP="0071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372"/>
    <w:multiLevelType w:val="hybridMultilevel"/>
    <w:tmpl w:val="FCB67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7563"/>
    <w:multiLevelType w:val="multilevel"/>
    <w:tmpl w:val="6C24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854A2"/>
    <w:multiLevelType w:val="hybridMultilevel"/>
    <w:tmpl w:val="16DEA50A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1B6C85"/>
    <w:multiLevelType w:val="hybridMultilevel"/>
    <w:tmpl w:val="7FB4A2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372A"/>
    <w:multiLevelType w:val="hybridMultilevel"/>
    <w:tmpl w:val="85C2E9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070E"/>
    <w:multiLevelType w:val="hybridMultilevel"/>
    <w:tmpl w:val="A2203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0B94"/>
    <w:multiLevelType w:val="hybridMultilevel"/>
    <w:tmpl w:val="81BC712E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31BEC"/>
    <w:multiLevelType w:val="hybridMultilevel"/>
    <w:tmpl w:val="1A4053C4"/>
    <w:lvl w:ilvl="0" w:tplc="6DFCBC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D940A1"/>
    <w:multiLevelType w:val="hybridMultilevel"/>
    <w:tmpl w:val="1FBE3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20082"/>
    <w:multiLevelType w:val="hybridMultilevel"/>
    <w:tmpl w:val="58787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02C54"/>
    <w:multiLevelType w:val="hybridMultilevel"/>
    <w:tmpl w:val="81CE1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A0DCE"/>
    <w:multiLevelType w:val="hybridMultilevel"/>
    <w:tmpl w:val="6BCCE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86CCB"/>
    <w:multiLevelType w:val="hybridMultilevel"/>
    <w:tmpl w:val="E3A49A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8A6"/>
    <w:multiLevelType w:val="hybridMultilevel"/>
    <w:tmpl w:val="7C66C6A8"/>
    <w:lvl w:ilvl="0" w:tplc="32A444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34BCD"/>
    <w:multiLevelType w:val="hybridMultilevel"/>
    <w:tmpl w:val="96DCF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7649F"/>
    <w:multiLevelType w:val="hybridMultilevel"/>
    <w:tmpl w:val="95D0EBA0"/>
    <w:lvl w:ilvl="0" w:tplc="5F8E4CBE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D311A"/>
    <w:multiLevelType w:val="hybridMultilevel"/>
    <w:tmpl w:val="BC802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773F"/>
    <w:multiLevelType w:val="hybridMultilevel"/>
    <w:tmpl w:val="88BC3644"/>
    <w:lvl w:ilvl="0" w:tplc="28DE4C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A111E"/>
    <w:multiLevelType w:val="hybridMultilevel"/>
    <w:tmpl w:val="E4D08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C2CD9"/>
    <w:multiLevelType w:val="hybridMultilevel"/>
    <w:tmpl w:val="573E5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D1545"/>
    <w:multiLevelType w:val="multilevel"/>
    <w:tmpl w:val="7D0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9"/>
  </w:num>
  <w:num w:numId="5">
    <w:abstractNumId w:val="14"/>
  </w:num>
  <w:num w:numId="6">
    <w:abstractNumId w:val="10"/>
  </w:num>
  <w:num w:numId="7">
    <w:abstractNumId w:val="5"/>
  </w:num>
  <w:num w:numId="8">
    <w:abstractNumId w:val="18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"/>
  </w:num>
  <w:num w:numId="14">
    <w:abstractNumId w:val="2"/>
  </w:num>
  <w:num w:numId="15">
    <w:abstractNumId w:val="17"/>
  </w:num>
  <w:num w:numId="16">
    <w:abstractNumId w:val="7"/>
  </w:num>
  <w:num w:numId="17">
    <w:abstractNumId w:val="15"/>
  </w:num>
  <w:num w:numId="18">
    <w:abstractNumId w:val="6"/>
  </w:num>
  <w:num w:numId="19">
    <w:abstractNumId w:val="3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37"/>
    <w:rsid w:val="00030EB5"/>
    <w:rsid w:val="00062DA8"/>
    <w:rsid w:val="000D1D8B"/>
    <w:rsid w:val="0011248E"/>
    <w:rsid w:val="00112DC1"/>
    <w:rsid w:val="0014472B"/>
    <w:rsid w:val="00156D9F"/>
    <w:rsid w:val="001670F7"/>
    <w:rsid w:val="00183F98"/>
    <w:rsid w:val="0018713E"/>
    <w:rsid w:val="001E6719"/>
    <w:rsid w:val="00203C29"/>
    <w:rsid w:val="0020452C"/>
    <w:rsid w:val="00267E0F"/>
    <w:rsid w:val="0028328D"/>
    <w:rsid w:val="002A1131"/>
    <w:rsid w:val="002A2A9D"/>
    <w:rsid w:val="002D466E"/>
    <w:rsid w:val="002D72A6"/>
    <w:rsid w:val="002E20CF"/>
    <w:rsid w:val="003074DA"/>
    <w:rsid w:val="0030771A"/>
    <w:rsid w:val="00327E64"/>
    <w:rsid w:val="00337696"/>
    <w:rsid w:val="003412E5"/>
    <w:rsid w:val="00364FB2"/>
    <w:rsid w:val="00366444"/>
    <w:rsid w:val="0037493E"/>
    <w:rsid w:val="00376332"/>
    <w:rsid w:val="00380654"/>
    <w:rsid w:val="003D4B29"/>
    <w:rsid w:val="003E1858"/>
    <w:rsid w:val="003F1421"/>
    <w:rsid w:val="00401AEF"/>
    <w:rsid w:val="00424583"/>
    <w:rsid w:val="004262E3"/>
    <w:rsid w:val="00433236"/>
    <w:rsid w:val="0044328F"/>
    <w:rsid w:val="00453B4B"/>
    <w:rsid w:val="004640CF"/>
    <w:rsid w:val="00473510"/>
    <w:rsid w:val="004B434A"/>
    <w:rsid w:val="004B7CD8"/>
    <w:rsid w:val="004C34E8"/>
    <w:rsid w:val="004D16A5"/>
    <w:rsid w:val="005974D2"/>
    <w:rsid w:val="005A4A7C"/>
    <w:rsid w:val="005E41C6"/>
    <w:rsid w:val="00602702"/>
    <w:rsid w:val="00615859"/>
    <w:rsid w:val="006425A7"/>
    <w:rsid w:val="006557F2"/>
    <w:rsid w:val="006856D8"/>
    <w:rsid w:val="00685D16"/>
    <w:rsid w:val="00691CEF"/>
    <w:rsid w:val="00694227"/>
    <w:rsid w:val="006A6E06"/>
    <w:rsid w:val="006C7DE0"/>
    <w:rsid w:val="006E1510"/>
    <w:rsid w:val="006E5349"/>
    <w:rsid w:val="006F3980"/>
    <w:rsid w:val="006F7105"/>
    <w:rsid w:val="00716721"/>
    <w:rsid w:val="0073660F"/>
    <w:rsid w:val="00737827"/>
    <w:rsid w:val="00756565"/>
    <w:rsid w:val="00782042"/>
    <w:rsid w:val="00791AF9"/>
    <w:rsid w:val="007D406F"/>
    <w:rsid w:val="007E0055"/>
    <w:rsid w:val="0084773A"/>
    <w:rsid w:val="00855A4B"/>
    <w:rsid w:val="008577BB"/>
    <w:rsid w:val="008665A8"/>
    <w:rsid w:val="008B50DB"/>
    <w:rsid w:val="009050CD"/>
    <w:rsid w:val="00905762"/>
    <w:rsid w:val="00910A47"/>
    <w:rsid w:val="00954B74"/>
    <w:rsid w:val="0096219E"/>
    <w:rsid w:val="00965C14"/>
    <w:rsid w:val="00995DBA"/>
    <w:rsid w:val="00A04C2B"/>
    <w:rsid w:val="00A06EC1"/>
    <w:rsid w:val="00A516C1"/>
    <w:rsid w:val="00A519E3"/>
    <w:rsid w:val="00A61A3D"/>
    <w:rsid w:val="00A62602"/>
    <w:rsid w:val="00A91F7E"/>
    <w:rsid w:val="00A92310"/>
    <w:rsid w:val="00A92397"/>
    <w:rsid w:val="00AC4BF4"/>
    <w:rsid w:val="00B147D1"/>
    <w:rsid w:val="00B23637"/>
    <w:rsid w:val="00B6741E"/>
    <w:rsid w:val="00B748BE"/>
    <w:rsid w:val="00B84DFC"/>
    <w:rsid w:val="00BA24E1"/>
    <w:rsid w:val="00C01B9D"/>
    <w:rsid w:val="00C21971"/>
    <w:rsid w:val="00C308C0"/>
    <w:rsid w:val="00C50B16"/>
    <w:rsid w:val="00C6123D"/>
    <w:rsid w:val="00C66CD3"/>
    <w:rsid w:val="00C80AD2"/>
    <w:rsid w:val="00CD75CC"/>
    <w:rsid w:val="00D37308"/>
    <w:rsid w:val="00D60F18"/>
    <w:rsid w:val="00D62426"/>
    <w:rsid w:val="00D82061"/>
    <w:rsid w:val="00DA75D5"/>
    <w:rsid w:val="00DB0F7B"/>
    <w:rsid w:val="00DB2366"/>
    <w:rsid w:val="00DB65B9"/>
    <w:rsid w:val="00DE6946"/>
    <w:rsid w:val="00E51205"/>
    <w:rsid w:val="00E51DCC"/>
    <w:rsid w:val="00E53B07"/>
    <w:rsid w:val="00E56B7D"/>
    <w:rsid w:val="00E57A0A"/>
    <w:rsid w:val="00E86D55"/>
    <w:rsid w:val="00EA23E4"/>
    <w:rsid w:val="00EE0430"/>
    <w:rsid w:val="00EE5319"/>
    <w:rsid w:val="00F15376"/>
    <w:rsid w:val="00F1581D"/>
    <w:rsid w:val="00F16065"/>
    <w:rsid w:val="00F50E05"/>
    <w:rsid w:val="00F51F9D"/>
    <w:rsid w:val="00F64107"/>
    <w:rsid w:val="00F81554"/>
    <w:rsid w:val="00F918A0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270A"/>
  <w15:chartTrackingRefBased/>
  <w15:docId w15:val="{6BBB4BD4-DE15-4913-BB54-9675413C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721"/>
  </w:style>
  <w:style w:type="paragraph" w:styleId="Podnoje">
    <w:name w:val="footer"/>
    <w:basedOn w:val="Normal"/>
    <w:link w:val="PodnojeChar"/>
    <w:uiPriority w:val="99"/>
    <w:unhideWhenUsed/>
    <w:rsid w:val="0071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721"/>
  </w:style>
  <w:style w:type="paragraph" w:styleId="Odlomakpopisa">
    <w:name w:val="List Paragraph"/>
    <w:basedOn w:val="Normal"/>
    <w:uiPriority w:val="34"/>
    <w:qFormat/>
    <w:rsid w:val="0071672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8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85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6425A7"/>
    <w:rPr>
      <w:b/>
      <w:bCs/>
    </w:rPr>
  </w:style>
  <w:style w:type="paragraph" w:styleId="Tijeloteksta">
    <w:name w:val="Body Text"/>
    <w:basedOn w:val="Normal"/>
    <w:link w:val="TijelotekstaChar"/>
    <w:uiPriority w:val="99"/>
    <w:qFormat/>
    <w:rsid w:val="00F160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1606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62D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Vrban</dc:creator>
  <cp:keywords/>
  <dc:description/>
  <cp:lastModifiedBy>Nada</cp:lastModifiedBy>
  <cp:revision>46</cp:revision>
  <cp:lastPrinted>2025-10-01T11:52:00Z</cp:lastPrinted>
  <dcterms:created xsi:type="dcterms:W3CDTF">2024-12-20T07:23:00Z</dcterms:created>
  <dcterms:modified xsi:type="dcterms:W3CDTF">2025-12-22T08:48:00Z</dcterms:modified>
</cp:coreProperties>
</file>