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2B" w:rsidRDefault="008D1D2D" w:rsidP="00460E76">
      <w:pPr>
        <w:spacing w:line="360" w:lineRule="auto"/>
        <w:jc w:val="center"/>
        <w:rPr>
          <w:rFonts w:ascii="Times New Roman" w:hAnsi="Times New Roman" w:cs="Times New Roman"/>
          <w:b/>
          <w:sz w:val="24"/>
          <w:szCs w:val="24"/>
        </w:rPr>
      </w:pPr>
      <w:r w:rsidRPr="00CC4715">
        <w:rPr>
          <w:rFonts w:ascii="Times New Roman" w:hAnsi="Times New Roman" w:cs="Times New Roman"/>
          <w:b/>
          <w:sz w:val="24"/>
          <w:szCs w:val="24"/>
        </w:rPr>
        <w:t>OBRAZLOŽENJE</w:t>
      </w:r>
    </w:p>
    <w:p w:rsidR="0024019C" w:rsidRDefault="007F6416" w:rsidP="00460E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POLU</w:t>
      </w:r>
      <w:r w:rsidR="0024019C">
        <w:rPr>
          <w:rFonts w:ascii="Times New Roman" w:hAnsi="Times New Roman" w:cs="Times New Roman"/>
          <w:b/>
          <w:sz w:val="24"/>
          <w:szCs w:val="24"/>
        </w:rPr>
        <w:t>GODIŠNJEG IZVJEŠTAJA O IZVRŠENJU FINANCIJSKOG PLANA OSNOVNE ŠKOLE IVANE BR</w:t>
      </w:r>
      <w:r>
        <w:rPr>
          <w:rFonts w:ascii="Times New Roman" w:hAnsi="Times New Roman" w:cs="Times New Roman"/>
          <w:b/>
          <w:sz w:val="24"/>
          <w:szCs w:val="24"/>
        </w:rPr>
        <w:t>LIĆ-MAŽURANIĆ VIROVITICA ZA 2026</w:t>
      </w:r>
      <w:r w:rsidR="0024019C">
        <w:rPr>
          <w:rFonts w:ascii="Times New Roman" w:hAnsi="Times New Roman" w:cs="Times New Roman"/>
          <w:b/>
          <w:sz w:val="24"/>
          <w:szCs w:val="24"/>
        </w:rPr>
        <w:t>. GODINU</w:t>
      </w:r>
    </w:p>
    <w:p w:rsidR="008D1D2D" w:rsidRPr="00CC4715" w:rsidRDefault="008D1D2D" w:rsidP="00CC4715">
      <w:pPr>
        <w:autoSpaceDE w:val="0"/>
        <w:autoSpaceDN w:val="0"/>
        <w:adjustRightInd w:val="0"/>
        <w:spacing w:line="360" w:lineRule="auto"/>
        <w:jc w:val="center"/>
        <w:rPr>
          <w:rFonts w:ascii="Times New Roman" w:hAnsi="Times New Roman" w:cs="Times New Roman"/>
          <w:b/>
          <w:bCs/>
          <w:sz w:val="24"/>
          <w:szCs w:val="24"/>
        </w:rPr>
      </w:pPr>
    </w:p>
    <w:p w:rsidR="00CC4715" w:rsidRDefault="0087510B" w:rsidP="00A451BB">
      <w:pPr>
        <w:pStyle w:val="Odlomakpopisa"/>
        <w:numPr>
          <w:ilvl w:val="0"/>
          <w:numId w:val="9"/>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OPĆI DIO</w:t>
      </w:r>
    </w:p>
    <w:p w:rsidR="0024019C" w:rsidRPr="00CC4715" w:rsidRDefault="0024019C" w:rsidP="0024019C">
      <w:pPr>
        <w:pStyle w:val="Odlomakpopisa"/>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Obrazloženje ostvarenja prihoda i primitaka, rashoda i izdataka Financijskog plana Osnovne škole Ivane Brlić-Mažuranić Virovitica u </w:t>
      </w:r>
      <w:r w:rsidR="007F6416">
        <w:rPr>
          <w:rFonts w:ascii="Times New Roman" w:hAnsi="Times New Roman" w:cs="Times New Roman"/>
          <w:b/>
          <w:sz w:val="24"/>
          <w:szCs w:val="24"/>
        </w:rPr>
        <w:t>polu</w:t>
      </w:r>
      <w:r>
        <w:rPr>
          <w:rFonts w:ascii="Times New Roman" w:hAnsi="Times New Roman" w:cs="Times New Roman"/>
          <w:b/>
          <w:sz w:val="24"/>
          <w:szCs w:val="24"/>
        </w:rPr>
        <w:t>godišnje</w:t>
      </w:r>
      <w:r w:rsidR="007F6416">
        <w:rPr>
          <w:rFonts w:ascii="Times New Roman" w:hAnsi="Times New Roman" w:cs="Times New Roman"/>
          <w:b/>
          <w:sz w:val="24"/>
          <w:szCs w:val="24"/>
        </w:rPr>
        <w:t>m izvještaju o izvršenju za 2026</w:t>
      </w:r>
      <w:r>
        <w:rPr>
          <w:rFonts w:ascii="Times New Roman" w:hAnsi="Times New Roman" w:cs="Times New Roman"/>
          <w:b/>
          <w:sz w:val="24"/>
          <w:szCs w:val="24"/>
        </w:rPr>
        <w:t>. godinu</w:t>
      </w:r>
    </w:p>
    <w:p w:rsidR="00CC4715" w:rsidRPr="00CC4715" w:rsidRDefault="00CC4715" w:rsidP="00A451BB">
      <w:pPr>
        <w:pStyle w:val="Odlomakpopisa"/>
        <w:spacing w:after="0"/>
        <w:jc w:val="both"/>
        <w:rPr>
          <w:rFonts w:ascii="Times New Roman" w:hAnsi="Times New Roman" w:cs="Times New Roman"/>
          <w:b/>
          <w:sz w:val="24"/>
          <w:szCs w:val="24"/>
        </w:rPr>
      </w:pPr>
    </w:p>
    <w:p w:rsidR="001462EE" w:rsidRPr="001E0E79" w:rsidRDefault="001E0E79" w:rsidP="004644D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E90FCE" w:rsidRPr="001E0E79">
        <w:rPr>
          <w:rFonts w:ascii="Times New Roman" w:hAnsi="Times New Roman" w:cs="Times New Roman"/>
          <w:b/>
          <w:bCs/>
          <w:sz w:val="24"/>
          <w:szCs w:val="24"/>
        </w:rPr>
        <w:t>PRIHODI POSLOVANJA</w:t>
      </w:r>
    </w:p>
    <w:p w:rsidR="001462EE" w:rsidRDefault="001462EE" w:rsidP="004644D8">
      <w:pPr>
        <w:autoSpaceDE w:val="0"/>
        <w:autoSpaceDN w:val="0"/>
        <w:adjustRightInd w:val="0"/>
        <w:spacing w:line="360" w:lineRule="auto"/>
        <w:jc w:val="both"/>
        <w:rPr>
          <w:rFonts w:ascii="Times New Roman" w:hAnsi="Times New Roman" w:cs="Times New Roman"/>
          <w:bCs/>
          <w:sz w:val="24"/>
          <w:szCs w:val="24"/>
        </w:rPr>
      </w:pPr>
      <w:r w:rsidRPr="00CC4715">
        <w:rPr>
          <w:rFonts w:ascii="Times New Roman" w:hAnsi="Times New Roman" w:cs="Times New Roman"/>
          <w:bCs/>
          <w:sz w:val="24"/>
          <w:szCs w:val="24"/>
        </w:rPr>
        <w:t>Ukupno plan</w:t>
      </w:r>
      <w:r w:rsidR="004E3E04">
        <w:rPr>
          <w:rFonts w:ascii="Times New Roman" w:hAnsi="Times New Roman" w:cs="Times New Roman"/>
          <w:bCs/>
          <w:sz w:val="24"/>
          <w:szCs w:val="24"/>
        </w:rPr>
        <w:t>irani prihodi poslovanja za 2026</w:t>
      </w:r>
      <w:r w:rsidRPr="00CC4715">
        <w:rPr>
          <w:rFonts w:ascii="Times New Roman" w:hAnsi="Times New Roman" w:cs="Times New Roman"/>
          <w:bCs/>
          <w:sz w:val="24"/>
          <w:szCs w:val="24"/>
        </w:rPr>
        <w:t>. godinu iznos</w:t>
      </w:r>
      <w:r w:rsidR="002E114E" w:rsidRPr="00CC4715">
        <w:rPr>
          <w:rFonts w:ascii="Times New Roman" w:hAnsi="Times New Roman" w:cs="Times New Roman"/>
          <w:bCs/>
          <w:sz w:val="24"/>
          <w:szCs w:val="24"/>
        </w:rPr>
        <w:t>e</w:t>
      </w:r>
      <w:r w:rsidRPr="00CC4715">
        <w:rPr>
          <w:rFonts w:ascii="Times New Roman" w:hAnsi="Times New Roman" w:cs="Times New Roman"/>
          <w:bCs/>
          <w:sz w:val="24"/>
          <w:szCs w:val="24"/>
        </w:rPr>
        <w:t xml:space="preserve"> </w:t>
      </w:r>
      <w:r w:rsidR="004E3E04">
        <w:rPr>
          <w:rFonts w:ascii="Times New Roman" w:hAnsi="Times New Roman" w:cs="Times New Roman"/>
          <w:bCs/>
          <w:sz w:val="24"/>
          <w:szCs w:val="24"/>
        </w:rPr>
        <w:t>4.188.435</w:t>
      </w:r>
      <w:r w:rsidR="0024019C">
        <w:rPr>
          <w:rFonts w:ascii="Times New Roman" w:hAnsi="Times New Roman" w:cs="Times New Roman"/>
          <w:bCs/>
          <w:sz w:val="24"/>
          <w:szCs w:val="24"/>
        </w:rPr>
        <w:t>,00</w:t>
      </w:r>
      <w:r w:rsidRPr="00CC4715">
        <w:rPr>
          <w:rFonts w:ascii="Times New Roman" w:hAnsi="Times New Roman" w:cs="Times New Roman"/>
          <w:bCs/>
          <w:sz w:val="24"/>
          <w:szCs w:val="24"/>
        </w:rPr>
        <w:t xml:space="preserve"> eura, a ostvareno je </w:t>
      </w:r>
      <w:r w:rsidR="004E3E04">
        <w:rPr>
          <w:rFonts w:ascii="Times New Roman" w:hAnsi="Times New Roman" w:cs="Times New Roman"/>
          <w:bCs/>
          <w:sz w:val="24"/>
          <w:szCs w:val="24"/>
        </w:rPr>
        <w:t>1.980.878,90 eura</w:t>
      </w:r>
      <w:r w:rsidRPr="00CC4715">
        <w:rPr>
          <w:rFonts w:ascii="Times New Roman" w:hAnsi="Times New Roman" w:cs="Times New Roman"/>
          <w:bCs/>
          <w:sz w:val="24"/>
          <w:szCs w:val="24"/>
        </w:rPr>
        <w:t xml:space="preserve">, odnosno </w:t>
      </w:r>
      <w:r w:rsidR="004E3E04">
        <w:rPr>
          <w:rFonts w:ascii="Times New Roman" w:hAnsi="Times New Roman" w:cs="Times New Roman"/>
          <w:bCs/>
          <w:sz w:val="24"/>
          <w:szCs w:val="24"/>
        </w:rPr>
        <w:t xml:space="preserve">47,29 </w:t>
      </w:r>
      <w:r w:rsidRPr="00CC4715">
        <w:rPr>
          <w:rFonts w:ascii="Times New Roman" w:hAnsi="Times New Roman" w:cs="Times New Roman"/>
          <w:bCs/>
          <w:sz w:val="24"/>
          <w:szCs w:val="24"/>
        </w:rPr>
        <w:t>% godišnjeg plana.</w:t>
      </w:r>
    </w:p>
    <w:p w:rsidR="005849BF" w:rsidRPr="00CC4715" w:rsidRDefault="005849BF" w:rsidP="004644D8">
      <w:pPr>
        <w:autoSpaceDE w:val="0"/>
        <w:autoSpaceDN w:val="0"/>
        <w:adjustRightInd w:val="0"/>
        <w:spacing w:line="360" w:lineRule="auto"/>
        <w:jc w:val="both"/>
        <w:rPr>
          <w:rFonts w:ascii="Times New Roman" w:hAnsi="Times New Roman" w:cs="Times New Roman"/>
          <w:bCs/>
          <w:sz w:val="24"/>
          <w:szCs w:val="24"/>
        </w:rPr>
      </w:pPr>
    </w:p>
    <w:p w:rsidR="001462EE" w:rsidRPr="00CC4715" w:rsidRDefault="001462EE" w:rsidP="004644D8">
      <w:pPr>
        <w:pStyle w:val="Odlomakpopisa"/>
        <w:numPr>
          <w:ilvl w:val="0"/>
          <w:numId w:val="12"/>
        </w:numPr>
        <w:autoSpaceDE w:val="0"/>
        <w:autoSpaceDN w:val="0"/>
        <w:adjustRightInd w:val="0"/>
        <w:spacing w:line="360" w:lineRule="auto"/>
        <w:jc w:val="both"/>
        <w:rPr>
          <w:rFonts w:ascii="Times New Roman" w:hAnsi="Times New Roman" w:cs="Times New Roman"/>
          <w:b/>
          <w:bCs/>
          <w:i/>
          <w:sz w:val="24"/>
          <w:szCs w:val="24"/>
        </w:rPr>
      </w:pPr>
      <w:r w:rsidRPr="00CC4715">
        <w:rPr>
          <w:rFonts w:ascii="Times New Roman" w:hAnsi="Times New Roman" w:cs="Times New Roman"/>
          <w:b/>
          <w:bCs/>
          <w:i/>
          <w:sz w:val="24"/>
          <w:szCs w:val="24"/>
        </w:rPr>
        <w:t>Pomoći od inozemstva i od subjekata unutar općeg proračuna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Planirani proračun za 2026. godinu iznosi 3.347.644,00 eura, od čega je do promatranog razdoblja ostvareno 1.516.933,68 eura, odnosno 45,31 % godišnjeg plana.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 xml:space="preserve">Najveći dio ostvarenih prihoda odnosi se na sredstva Ministarstva znanosti, obrazovanja i mladih za financiranje plaća zaposlenika u iznosu od 1.511.101,53 eura. Iz državnog proračuna također su doznačena sredstva za prijevoz djece s teškoćama u razvoju i nabavu didaktičkih materijala u iznosu od 890,48 eura, za financiranje rada Županijskog stručnog vijeća 735,00 eura, za nabavu </w:t>
      </w:r>
      <w:proofErr w:type="spellStart"/>
      <w:r w:rsidRPr="005849BF">
        <w:rPr>
          <w:rFonts w:ascii="Times New Roman" w:eastAsia="Times New Roman" w:hAnsi="Times New Roman" w:cs="Times New Roman"/>
          <w:sz w:val="24"/>
          <w:szCs w:val="24"/>
          <w:lang w:eastAsia="hr-HR"/>
        </w:rPr>
        <w:t>psihodijagnostičkih</w:t>
      </w:r>
      <w:proofErr w:type="spellEnd"/>
      <w:r w:rsidRPr="005849BF">
        <w:rPr>
          <w:rFonts w:ascii="Times New Roman" w:eastAsia="Times New Roman" w:hAnsi="Times New Roman" w:cs="Times New Roman"/>
          <w:sz w:val="24"/>
          <w:szCs w:val="24"/>
          <w:lang w:eastAsia="hr-HR"/>
        </w:rPr>
        <w:t xml:space="preserve"> sredstava 1.030,88 eura te 1.120,00 eura za sufinanciranje rada mentora.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Ministarstvo znanosti, obrazovanja i mladih dodatno je refundiralo 656,64 eura za plaću pripravnika iz prethodne godine, nastalu zbog promjene osnovice za obračun plaće. Virovitičko-podravska županija osigurala je 1.352,00 eura za sudjelovanje učenika i nastavnika na natjecanjima.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Kapitalne pomoći ostvarene su u iznosu od 47,15 eura, a odnose se na naknade za izgubljene udžbenike iz prethodne školske godine (2025./2026.).</w:t>
      </w:r>
    </w:p>
    <w:p w:rsidR="0067225D" w:rsidRPr="0073703A" w:rsidRDefault="0067225D" w:rsidP="004644D8">
      <w:pPr>
        <w:spacing w:line="360" w:lineRule="auto"/>
        <w:jc w:val="both"/>
        <w:rPr>
          <w:rFonts w:ascii="Times New Roman" w:hAnsi="Times New Roman" w:cs="Times New Roman"/>
          <w:sz w:val="24"/>
        </w:rPr>
      </w:pPr>
    </w:p>
    <w:p w:rsidR="0082700E" w:rsidRPr="00CC4715" w:rsidRDefault="0082700E" w:rsidP="004644D8">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Prihodi od upravnih i administrativnih pristojbi, pristojbi po posebnim propisima i naknada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Proračunom za 2026. godinu planirani su prihodi u iznosu od 73.000,00 eura, od čega je u promatranom razdoblju ostvareno 44.975,41 eura, odnosno 61,61 % godišnjeg plana.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Najveći dio ostvarenih prihoda odnosi se na naknade za produženi boravak učenika u iznosu od 31.391,65 eura. Ostvareni su i prihodi od uplata za prehranu zaposlenika u iznosu od 2.866,09 eura, sufinanciranja dnevnica učitelja koji su sudjelovali kao pratnja na ekskurzijama, a koja su osigurale turističke agencije, u iznosu od 810,00 eura, te uplata za kazališne predstave u iznosu od 2.636,00 eura.</w:t>
      </w:r>
    </w:p>
    <w:p w:rsidR="00F25520"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Prihodi s osnove osiguranja i refundacije šteta ostvareni su u iznosu od 6.282,50 eura, dok je Hrvatski školski sportski savez refundirao troškove sportskih natjecanja u iznosu od 989,17 eura.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82700E" w:rsidRPr="00CC4715" w:rsidRDefault="0082700E" w:rsidP="004644D8">
      <w:pPr>
        <w:pStyle w:val="Odlomakpopisa"/>
        <w:numPr>
          <w:ilvl w:val="0"/>
          <w:numId w:val="12"/>
        </w:numPr>
        <w:spacing w:after="0" w:line="360" w:lineRule="auto"/>
        <w:jc w:val="both"/>
        <w:rPr>
          <w:rFonts w:ascii="Times New Roman" w:eastAsia="Times New Roman" w:hAnsi="Times New Roman" w:cs="Times New Roman"/>
          <w:b/>
          <w:bCs/>
          <w:i/>
          <w:sz w:val="24"/>
          <w:szCs w:val="24"/>
          <w:lang w:eastAsia="hr-HR"/>
        </w:rPr>
      </w:pPr>
      <w:r w:rsidRPr="00CC4715">
        <w:rPr>
          <w:rFonts w:ascii="Times New Roman" w:eastAsia="Times New Roman" w:hAnsi="Times New Roman" w:cs="Times New Roman"/>
          <w:b/>
          <w:bCs/>
          <w:i/>
          <w:sz w:val="24"/>
          <w:szCs w:val="24"/>
          <w:lang w:eastAsia="hr-HR"/>
        </w:rPr>
        <w:t>Prihodi od prodaje proizvoda i robe te pruženih usluga, prihodi od donacija te povrati po protestira</w:t>
      </w:r>
      <w:r w:rsidR="00FC4966">
        <w:rPr>
          <w:rFonts w:ascii="Times New Roman" w:eastAsia="Times New Roman" w:hAnsi="Times New Roman" w:cs="Times New Roman"/>
          <w:b/>
          <w:bCs/>
          <w:i/>
          <w:sz w:val="24"/>
          <w:szCs w:val="24"/>
          <w:lang w:eastAsia="hr-HR"/>
        </w:rPr>
        <w:t>nim jamstvima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Proračunom za 2026. godinu planirani su prihodi u iznosu od 16.140,00 eura, od čega je u promatranom razdoblju ostvareno 9.736,48 eura, odnosno 60,33 % godišnjeg plana.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 xml:space="preserve">Ostvareni prihodi odnose se na najam školske dvorane za sportske aktivnosti i oglašavanje u iznosu od 2.741,00 eura, najam </w:t>
      </w:r>
      <w:proofErr w:type="spellStart"/>
      <w:r w:rsidRPr="005849BF">
        <w:rPr>
          <w:rFonts w:ascii="Times New Roman" w:eastAsia="Times New Roman" w:hAnsi="Times New Roman" w:cs="Times New Roman"/>
          <w:sz w:val="24"/>
          <w:szCs w:val="24"/>
          <w:lang w:eastAsia="hr-HR"/>
        </w:rPr>
        <w:t>samoposlužnih</w:t>
      </w:r>
      <w:proofErr w:type="spellEnd"/>
      <w:r w:rsidRPr="005849BF">
        <w:rPr>
          <w:rFonts w:ascii="Times New Roman" w:eastAsia="Times New Roman" w:hAnsi="Times New Roman" w:cs="Times New Roman"/>
          <w:sz w:val="24"/>
          <w:szCs w:val="24"/>
          <w:lang w:eastAsia="hr-HR"/>
        </w:rPr>
        <w:t xml:space="preserve"> aparata u iznosu od 2.800,00 eura te prihode od školskog časopisa Hlapić u iznosu od 1.608,00 eura.</w:t>
      </w:r>
    </w:p>
    <w:p w:rsid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Škola je ostvarila i prihode od donacija u ukupnom iznosu od 2.587,48 eura. Od toga se 452,00 eura odnosi na tekuće donacije ostvarene dobrovoljnim uplatama roditelja učenika, dok se 2.135,48 eura odnosi na kapitalne donacije društava Konzum plus d.o.o. i HEP d.d.</w:t>
      </w:r>
    </w:p>
    <w:p w:rsidR="004644D8" w:rsidRPr="005849BF" w:rsidRDefault="004644D8"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67225D" w:rsidRDefault="0067225D" w:rsidP="004644D8">
      <w:pPr>
        <w:spacing w:line="360" w:lineRule="auto"/>
        <w:jc w:val="both"/>
      </w:pPr>
    </w:p>
    <w:p w:rsidR="008D4A67" w:rsidRPr="009E3C22" w:rsidRDefault="008D4A67" w:rsidP="004644D8">
      <w:pPr>
        <w:pStyle w:val="Odlomakpopisa"/>
        <w:numPr>
          <w:ilvl w:val="0"/>
          <w:numId w:val="12"/>
        </w:numPr>
        <w:spacing w:line="360" w:lineRule="auto"/>
        <w:jc w:val="both"/>
        <w:rPr>
          <w:rFonts w:ascii="Times New Roman" w:hAnsi="Times New Roman" w:cs="Times New Roman"/>
          <w:i/>
          <w:sz w:val="24"/>
          <w:szCs w:val="24"/>
        </w:rPr>
      </w:pPr>
      <w:r w:rsidRPr="009E3C22">
        <w:rPr>
          <w:rFonts w:ascii="Times New Roman" w:eastAsia="Times New Roman" w:hAnsi="Times New Roman" w:cs="Times New Roman"/>
          <w:b/>
          <w:bCs/>
          <w:i/>
          <w:sz w:val="24"/>
          <w:szCs w:val="24"/>
          <w:lang w:eastAsia="hr-HR"/>
        </w:rPr>
        <w:lastRenderedPageBreak/>
        <w:t>Prihodi iz nadležnog proračuna i od HZZO-a temeljem ugovornih obveza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Proračunom za 2026. godinu planirani su prihodi u iznosu od 751.651,00 eura, od čega je ostvareno 409.233,33 eura, odnosno 54,44 % godišnjeg plana.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Ostvareni prihodi odnose se na sredstva iz nadležnog proračuna za financiranje plaća djelatnika zaposlenih u produženom boravku i materijalnih troškova u iznosu od 27.440,25 eura, plaća pomoćnika u nastavi u iznosu od 62.827,15 eura te ugovora o djelu za projekt e-Škole u iznosu od 764,58 eura.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Nadalje, ostvarena su sredstva za otplatu kamata po dugoročnom kreditu u iznosu od 3.131,82 eura te za otplatu glavnice kredita u iznosu od 16.590,36 eura. Za financiranje redovne djelatnosti škole iz decentraliziranih sredstava ostvareno je 192.546,79 eura, a navedena sredstva koriste se za podmirenje materijalnih troškova, prijevoz učenika, nabavu uredskog materijala, energenata te rekonstrukciju igrališta.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Za financiranje školske prehrane osigurana su sredstva u iznosu od 92.972,38 eura, dok je nadležni proračun osigurao sredstva za nabavu šest pametnih ploča u iznosu od 12.960,00 eura.</w:t>
      </w:r>
    </w:p>
    <w:p w:rsidR="009E3C22" w:rsidRPr="009E3C22" w:rsidRDefault="009E3C22" w:rsidP="004644D8">
      <w:pPr>
        <w:spacing w:line="360" w:lineRule="auto"/>
        <w:jc w:val="both"/>
        <w:rPr>
          <w:rFonts w:ascii="Times New Roman" w:hAnsi="Times New Roman" w:cs="Times New Roman"/>
          <w:sz w:val="24"/>
          <w:szCs w:val="24"/>
        </w:rPr>
      </w:pPr>
    </w:p>
    <w:p w:rsidR="00E8181D" w:rsidRPr="001E0E79" w:rsidRDefault="001E0E79" w:rsidP="004644D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E90FCE" w:rsidRPr="001E0E79">
        <w:rPr>
          <w:rFonts w:ascii="Times New Roman" w:hAnsi="Times New Roman" w:cs="Times New Roman"/>
          <w:b/>
          <w:bCs/>
          <w:sz w:val="24"/>
          <w:szCs w:val="24"/>
        </w:rPr>
        <w:t>RASHODI POSLOVANJA</w:t>
      </w:r>
    </w:p>
    <w:p w:rsidR="0067225D" w:rsidRPr="00CC4715" w:rsidRDefault="008D4A67" w:rsidP="004644D8">
      <w:pPr>
        <w:autoSpaceDE w:val="0"/>
        <w:autoSpaceDN w:val="0"/>
        <w:adjustRightInd w:val="0"/>
        <w:spacing w:line="360" w:lineRule="auto"/>
        <w:jc w:val="both"/>
        <w:rPr>
          <w:rFonts w:ascii="Times New Roman" w:hAnsi="Times New Roman" w:cs="Times New Roman"/>
          <w:bCs/>
          <w:sz w:val="24"/>
          <w:szCs w:val="24"/>
        </w:rPr>
      </w:pPr>
      <w:r w:rsidRPr="00CC4715">
        <w:rPr>
          <w:rFonts w:ascii="Times New Roman" w:hAnsi="Times New Roman" w:cs="Times New Roman"/>
          <w:bCs/>
          <w:sz w:val="24"/>
          <w:szCs w:val="24"/>
        </w:rPr>
        <w:t>Ukupno plan</w:t>
      </w:r>
      <w:r w:rsidR="00533B87">
        <w:rPr>
          <w:rFonts w:ascii="Times New Roman" w:hAnsi="Times New Roman" w:cs="Times New Roman"/>
          <w:bCs/>
          <w:sz w:val="24"/>
          <w:szCs w:val="24"/>
        </w:rPr>
        <w:t>irani rashodi poslovanja za 2026</w:t>
      </w:r>
      <w:r w:rsidRPr="00CC4715">
        <w:rPr>
          <w:rFonts w:ascii="Times New Roman" w:hAnsi="Times New Roman" w:cs="Times New Roman"/>
          <w:bCs/>
          <w:sz w:val="24"/>
          <w:szCs w:val="24"/>
        </w:rPr>
        <w:t xml:space="preserve">. godinu iznose </w:t>
      </w:r>
      <w:r w:rsidR="00533B87">
        <w:rPr>
          <w:rFonts w:ascii="Times New Roman" w:hAnsi="Times New Roman" w:cs="Times New Roman"/>
          <w:bCs/>
          <w:sz w:val="24"/>
          <w:szCs w:val="24"/>
        </w:rPr>
        <w:t>3.802.725,00</w:t>
      </w:r>
      <w:r w:rsidRPr="00CC4715">
        <w:rPr>
          <w:rFonts w:ascii="Times New Roman" w:hAnsi="Times New Roman" w:cs="Times New Roman"/>
          <w:bCs/>
          <w:sz w:val="24"/>
          <w:szCs w:val="24"/>
        </w:rPr>
        <w:t xml:space="preserve"> </w:t>
      </w:r>
      <w:r w:rsidR="00131D27">
        <w:rPr>
          <w:rFonts w:ascii="Times New Roman" w:hAnsi="Times New Roman" w:cs="Times New Roman"/>
          <w:bCs/>
          <w:sz w:val="24"/>
          <w:szCs w:val="24"/>
        </w:rPr>
        <w:t>€</w:t>
      </w:r>
      <w:r w:rsidRPr="00CC4715">
        <w:rPr>
          <w:rFonts w:ascii="Times New Roman" w:hAnsi="Times New Roman" w:cs="Times New Roman"/>
          <w:bCs/>
          <w:sz w:val="24"/>
          <w:szCs w:val="24"/>
        </w:rPr>
        <w:t xml:space="preserve">, a ostvareno je </w:t>
      </w:r>
      <w:r w:rsidR="00533B87">
        <w:rPr>
          <w:rFonts w:ascii="Times New Roman" w:hAnsi="Times New Roman" w:cs="Times New Roman"/>
          <w:bCs/>
          <w:sz w:val="24"/>
          <w:szCs w:val="24"/>
        </w:rPr>
        <w:t>1.919.727,17</w:t>
      </w:r>
      <w:r w:rsidRPr="00CC4715">
        <w:rPr>
          <w:rFonts w:ascii="Times New Roman" w:hAnsi="Times New Roman" w:cs="Times New Roman"/>
          <w:bCs/>
          <w:sz w:val="24"/>
          <w:szCs w:val="24"/>
        </w:rPr>
        <w:t xml:space="preserve"> </w:t>
      </w:r>
      <w:r w:rsidR="00131D27">
        <w:rPr>
          <w:rFonts w:ascii="Times New Roman" w:hAnsi="Times New Roman" w:cs="Times New Roman"/>
          <w:bCs/>
          <w:sz w:val="24"/>
          <w:szCs w:val="24"/>
        </w:rPr>
        <w:t>€</w:t>
      </w:r>
      <w:r w:rsidRPr="00CC4715">
        <w:rPr>
          <w:rFonts w:ascii="Times New Roman" w:hAnsi="Times New Roman" w:cs="Times New Roman"/>
          <w:bCs/>
          <w:sz w:val="24"/>
          <w:szCs w:val="24"/>
        </w:rPr>
        <w:t xml:space="preserve">, odnosno </w:t>
      </w:r>
      <w:r w:rsidR="00533B87">
        <w:rPr>
          <w:rFonts w:ascii="Times New Roman" w:hAnsi="Times New Roman" w:cs="Times New Roman"/>
          <w:bCs/>
          <w:sz w:val="24"/>
          <w:szCs w:val="24"/>
        </w:rPr>
        <w:t>50,48</w:t>
      </w:r>
      <w:r w:rsidRPr="00CC4715">
        <w:rPr>
          <w:rFonts w:ascii="Times New Roman" w:hAnsi="Times New Roman" w:cs="Times New Roman"/>
          <w:bCs/>
          <w:sz w:val="24"/>
          <w:szCs w:val="24"/>
        </w:rPr>
        <w:t xml:space="preserve"> % godišnjeg plana.</w:t>
      </w:r>
    </w:p>
    <w:p w:rsidR="008D4A67" w:rsidRPr="00CC4715" w:rsidRDefault="008D4A67" w:rsidP="004644D8">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Rashodi za zaposlene</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Proračunom za 2026. godinu planirani su rashodi u iznosu od 3.219.890,00 eura, od čega je ostvareno 1.589.303,41 eura, odnosno 49,36 % godišnjeg plana.</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Rashodi za zaposlene odnose se na financiranje plaća i materijalnih prava zaposlenika u osnovnoškolskom obrazovanju iz državnog proračuna u iznosu od 1.482.458,83 eura, zaposlenika u produženom boravku u iznosu od 46.853,30 eura, pomoćnika u nastavi u iznosu od 59.829,28 eura te nagrada članovima županijskih povjerenstava OŠ Ivane Brlić-Mažuranić Virovitica u iznosu od 162,00 eura.</w:t>
      </w:r>
    </w:p>
    <w:p w:rsidR="005849BF" w:rsidRPr="005849BF" w:rsidRDefault="005849BF" w:rsidP="004644D8">
      <w:pPr>
        <w:pStyle w:val="Odlomakpopisa"/>
        <w:spacing w:before="100" w:beforeAutospacing="1" w:after="100" w:afterAutospacing="1" w:line="360" w:lineRule="auto"/>
        <w:rPr>
          <w:rFonts w:ascii="Times New Roman" w:eastAsia="Times New Roman" w:hAnsi="Times New Roman" w:cs="Times New Roman"/>
          <w:sz w:val="24"/>
          <w:szCs w:val="24"/>
          <w:lang w:eastAsia="hr-HR"/>
        </w:rPr>
      </w:pPr>
    </w:p>
    <w:p w:rsidR="001624E4" w:rsidRPr="00CC4715" w:rsidRDefault="001624E4" w:rsidP="004644D8">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lastRenderedPageBreak/>
        <w:t>Materijalni rashodi</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Proračunom za 2026. godinu planirani su rashodi u iznosu od 575.585,00 eura, od čega je ostvareno 327.167,48 eura, odnosno 56,84 % godišnjeg plana.</w:t>
      </w:r>
    </w:p>
    <w:p w:rsidR="004076DE"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 xml:space="preserve">Ostvarena sredstva utrošena su za naknade zaposlenicima u iznosu od 46.167,85 eura, rashode za materijal i energiju u iznosu od 135.465,99 eura, rashode za usluge u iznosu od 130.005,57 eura te ostale nespomenute rashode u iznosu od </w:t>
      </w:r>
      <w:r w:rsidR="00FC4966">
        <w:rPr>
          <w:rFonts w:ascii="Times New Roman" w:eastAsia="Times New Roman" w:hAnsi="Times New Roman" w:cs="Times New Roman"/>
          <w:sz w:val="24"/>
          <w:szCs w:val="24"/>
          <w:lang w:eastAsia="hr-HR"/>
        </w:rPr>
        <w:t>15.528,07</w:t>
      </w:r>
    </w:p>
    <w:p w:rsidR="005849BF" w:rsidRPr="005849BF" w:rsidRDefault="005849BF"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5849BF">
        <w:rPr>
          <w:rFonts w:ascii="Times New Roman" w:eastAsia="Times New Roman" w:hAnsi="Times New Roman" w:cs="Times New Roman"/>
          <w:sz w:val="24"/>
          <w:szCs w:val="24"/>
          <w:lang w:eastAsia="hr-HR"/>
        </w:rPr>
        <w:t xml:space="preserve"> eura.</w:t>
      </w:r>
    </w:p>
    <w:p w:rsidR="001624E4" w:rsidRPr="00CC4715" w:rsidRDefault="001624E4" w:rsidP="004644D8">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Financijski rashodi</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Proračunom za 2026. godinu planirani su rashodi u iznosu od 6.250,00 eura, od čega je ostvareno 3.256,28 eura, odnosno 52,10 % godišnjeg plana.</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Ostvarena sredstva utrošena su za podmirenje kamata po primljenom kreditu te troškova bankarskih usluga.</w:t>
      </w:r>
    </w:p>
    <w:p w:rsidR="00B057DB" w:rsidRDefault="00B057DB" w:rsidP="004644D8">
      <w:pPr>
        <w:pStyle w:val="Odlomakpopisa"/>
        <w:numPr>
          <w:ilvl w:val="0"/>
          <w:numId w:val="12"/>
        </w:numPr>
        <w:spacing w:line="360" w:lineRule="auto"/>
        <w:jc w:val="both"/>
        <w:rPr>
          <w:rFonts w:ascii="Times New Roman" w:hAnsi="Times New Roman" w:cs="Times New Roman"/>
          <w:b/>
          <w:bCs/>
          <w:i/>
          <w:sz w:val="24"/>
          <w:szCs w:val="24"/>
        </w:rPr>
      </w:pPr>
      <w:r w:rsidRPr="00B057DB">
        <w:rPr>
          <w:rFonts w:ascii="Times New Roman" w:hAnsi="Times New Roman" w:cs="Times New Roman"/>
          <w:b/>
          <w:bCs/>
          <w:i/>
          <w:sz w:val="24"/>
          <w:szCs w:val="24"/>
        </w:rPr>
        <w:t>Naknade građanima i kućanstvima na temelju osiguranja i druge naknade</w:t>
      </w:r>
    </w:p>
    <w:p w:rsidR="00B057DB" w:rsidRPr="00B057DB" w:rsidRDefault="00EE2663" w:rsidP="004644D8">
      <w:pPr>
        <w:spacing w:line="360" w:lineRule="auto"/>
        <w:jc w:val="both"/>
        <w:rPr>
          <w:rFonts w:ascii="Times New Roman" w:hAnsi="Times New Roman" w:cs="Times New Roman"/>
          <w:sz w:val="24"/>
        </w:rPr>
      </w:pPr>
      <w:r>
        <w:rPr>
          <w:rFonts w:ascii="Times New Roman" w:hAnsi="Times New Roman" w:cs="Times New Roman"/>
          <w:sz w:val="24"/>
          <w:szCs w:val="24"/>
        </w:rPr>
        <w:t>Proračunom za 2026</w:t>
      </w:r>
      <w:r w:rsidR="00B057DB" w:rsidRPr="00CC4715">
        <w:rPr>
          <w:rFonts w:ascii="Times New Roman" w:hAnsi="Times New Roman" w:cs="Times New Roman"/>
          <w:sz w:val="24"/>
          <w:szCs w:val="24"/>
        </w:rPr>
        <w:t xml:space="preserve">. godinu planiran je iznos od </w:t>
      </w:r>
      <w:r w:rsidR="00B806A2">
        <w:rPr>
          <w:rFonts w:ascii="Times New Roman" w:hAnsi="Times New Roman" w:cs="Times New Roman"/>
          <w:sz w:val="24"/>
          <w:szCs w:val="24"/>
        </w:rPr>
        <w:t>1.000,00</w:t>
      </w:r>
      <w:r w:rsidR="00B057DB" w:rsidRPr="00CC4715">
        <w:rPr>
          <w:rFonts w:ascii="Times New Roman" w:hAnsi="Times New Roman" w:cs="Times New Roman"/>
          <w:sz w:val="24"/>
          <w:szCs w:val="24"/>
        </w:rPr>
        <w:t xml:space="preserve"> €, od čega je ostvareno </w:t>
      </w:r>
      <w:r w:rsidR="00B806A2">
        <w:rPr>
          <w:rFonts w:ascii="Times New Roman" w:hAnsi="Times New Roman" w:cs="Times New Roman"/>
          <w:sz w:val="24"/>
          <w:szCs w:val="24"/>
        </w:rPr>
        <w:t>0,00</w:t>
      </w:r>
      <w:r w:rsidR="00B057DB" w:rsidRPr="00CC4715">
        <w:rPr>
          <w:rFonts w:ascii="Times New Roman" w:hAnsi="Times New Roman" w:cs="Times New Roman"/>
          <w:sz w:val="24"/>
          <w:szCs w:val="24"/>
        </w:rPr>
        <w:t xml:space="preserve"> €, što čini </w:t>
      </w:r>
      <w:r w:rsidR="00B806A2">
        <w:rPr>
          <w:rFonts w:ascii="Times New Roman" w:hAnsi="Times New Roman" w:cs="Times New Roman"/>
          <w:sz w:val="24"/>
          <w:szCs w:val="24"/>
        </w:rPr>
        <w:t>0,00</w:t>
      </w:r>
      <w:r w:rsidR="00B057DB" w:rsidRPr="00CC4715">
        <w:rPr>
          <w:rFonts w:ascii="Times New Roman" w:hAnsi="Times New Roman" w:cs="Times New Roman"/>
          <w:sz w:val="24"/>
          <w:szCs w:val="24"/>
        </w:rPr>
        <w:t xml:space="preserve"> % godišnjeg plana.</w:t>
      </w:r>
      <w:r w:rsidR="00B057DB">
        <w:rPr>
          <w:rFonts w:ascii="Times New Roman" w:hAnsi="Times New Roman" w:cs="Times New Roman"/>
          <w:sz w:val="24"/>
          <w:szCs w:val="24"/>
        </w:rPr>
        <w:t xml:space="preserve"> </w:t>
      </w:r>
    </w:p>
    <w:p w:rsidR="00B057DB" w:rsidRPr="00B057DB" w:rsidRDefault="00B057DB" w:rsidP="004644D8">
      <w:pPr>
        <w:spacing w:line="360" w:lineRule="auto"/>
        <w:jc w:val="both"/>
        <w:rPr>
          <w:rFonts w:ascii="Times New Roman" w:hAnsi="Times New Roman" w:cs="Times New Roman"/>
          <w:bCs/>
          <w:sz w:val="24"/>
          <w:szCs w:val="24"/>
        </w:rPr>
      </w:pPr>
    </w:p>
    <w:p w:rsidR="0067225D" w:rsidRDefault="001E0E79" w:rsidP="004644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E90FCE" w:rsidRPr="001E0E79">
        <w:rPr>
          <w:rFonts w:ascii="Times New Roman" w:hAnsi="Times New Roman" w:cs="Times New Roman"/>
          <w:b/>
          <w:bCs/>
          <w:sz w:val="24"/>
          <w:szCs w:val="24"/>
        </w:rPr>
        <w:t>RASHODI ZA NABAVU NEFINANCIJSKE IMOVINE</w:t>
      </w:r>
    </w:p>
    <w:p w:rsidR="00EE2663" w:rsidRPr="00EE2663" w:rsidRDefault="00EE2663" w:rsidP="00EE2663">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Proračunom za 2026. godinu planirani su rashodi u iznosu od 122.714,00 eura, od čega je ostvareno 21.246,43 eura, odnosno 17,31 % godišnjeg plana.</w:t>
      </w:r>
    </w:p>
    <w:p w:rsidR="001624E4" w:rsidRPr="00CC4715" w:rsidRDefault="001624E4" w:rsidP="004644D8">
      <w:pPr>
        <w:pStyle w:val="Odlomakpopisa"/>
        <w:numPr>
          <w:ilvl w:val="0"/>
          <w:numId w:val="12"/>
        </w:numPr>
        <w:spacing w:line="360" w:lineRule="auto"/>
        <w:jc w:val="both"/>
        <w:rPr>
          <w:rFonts w:ascii="Times New Roman" w:hAnsi="Times New Roman" w:cs="Times New Roman"/>
          <w:b/>
          <w:i/>
          <w:sz w:val="24"/>
          <w:szCs w:val="24"/>
        </w:rPr>
      </w:pPr>
      <w:r w:rsidRPr="00CC4715">
        <w:rPr>
          <w:rFonts w:ascii="Times New Roman" w:hAnsi="Times New Roman" w:cs="Times New Roman"/>
          <w:b/>
          <w:i/>
          <w:sz w:val="24"/>
          <w:szCs w:val="24"/>
        </w:rPr>
        <w:t>Rashodi za nabavu proizvedene dugotrajne imovine</w:t>
      </w:r>
    </w:p>
    <w:p w:rsidR="00EE2663" w:rsidRPr="00EE2663" w:rsidRDefault="00EE2663" w:rsidP="00EE2663">
      <w:pPr>
        <w:spacing w:before="100" w:beforeAutospacing="1" w:after="100" w:afterAutospacing="1" w:line="360" w:lineRule="auto"/>
        <w:jc w:val="both"/>
        <w:rPr>
          <w:rFonts w:ascii="Times New Roman" w:eastAsia="Times New Roman" w:hAnsi="Times New Roman" w:cs="Times New Roman"/>
          <w:sz w:val="24"/>
          <w:szCs w:val="24"/>
          <w:lang w:eastAsia="hr-HR"/>
        </w:rPr>
      </w:pPr>
      <w:r w:rsidRPr="00EE2663">
        <w:rPr>
          <w:rFonts w:ascii="Times New Roman" w:eastAsia="Times New Roman" w:hAnsi="Times New Roman" w:cs="Times New Roman"/>
          <w:sz w:val="24"/>
          <w:szCs w:val="24"/>
          <w:lang w:eastAsia="hr-HR"/>
        </w:rPr>
        <w:t xml:space="preserve">Proračunom za 2026. godinu planirani su rashodi u iznosu od </w:t>
      </w:r>
      <w:r>
        <w:rPr>
          <w:rFonts w:ascii="Times New Roman" w:eastAsia="Times New Roman" w:hAnsi="Times New Roman" w:cs="Times New Roman"/>
          <w:sz w:val="24"/>
          <w:szCs w:val="24"/>
          <w:lang w:eastAsia="hr-HR"/>
        </w:rPr>
        <w:t>72.714</w:t>
      </w:r>
      <w:r w:rsidRPr="00EE2663">
        <w:rPr>
          <w:rFonts w:ascii="Times New Roman" w:eastAsia="Times New Roman" w:hAnsi="Times New Roman" w:cs="Times New Roman"/>
          <w:sz w:val="24"/>
          <w:szCs w:val="24"/>
          <w:lang w:eastAsia="hr-HR"/>
        </w:rPr>
        <w:t xml:space="preserve">,00 eura, od čega je ostvareno </w:t>
      </w:r>
      <w:r>
        <w:rPr>
          <w:rFonts w:ascii="Times New Roman" w:eastAsia="Times New Roman" w:hAnsi="Times New Roman" w:cs="Times New Roman"/>
          <w:sz w:val="24"/>
          <w:szCs w:val="24"/>
          <w:lang w:eastAsia="hr-HR"/>
        </w:rPr>
        <w:t>17.996,43</w:t>
      </w:r>
      <w:r w:rsidRPr="00EE2663">
        <w:rPr>
          <w:rFonts w:ascii="Times New Roman" w:eastAsia="Times New Roman" w:hAnsi="Times New Roman" w:cs="Times New Roman"/>
          <w:sz w:val="24"/>
          <w:szCs w:val="24"/>
          <w:lang w:eastAsia="hr-HR"/>
        </w:rPr>
        <w:t xml:space="preserve"> eura, odnosno </w:t>
      </w:r>
      <w:r>
        <w:rPr>
          <w:rFonts w:ascii="Times New Roman" w:eastAsia="Times New Roman" w:hAnsi="Times New Roman" w:cs="Times New Roman"/>
          <w:sz w:val="24"/>
          <w:szCs w:val="24"/>
          <w:lang w:eastAsia="hr-HR"/>
        </w:rPr>
        <w:t>24,75</w:t>
      </w:r>
      <w:r w:rsidRPr="00EE2663">
        <w:rPr>
          <w:rFonts w:ascii="Times New Roman" w:eastAsia="Times New Roman" w:hAnsi="Times New Roman" w:cs="Times New Roman"/>
          <w:sz w:val="24"/>
          <w:szCs w:val="24"/>
          <w:lang w:eastAsia="hr-HR"/>
        </w:rPr>
        <w:t xml:space="preserve"> % godišnjeg plana.</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Ostvarena sredstva utrošena su za nabavu šest pametnih ploča u iznosu od 12.960,00 eura, dvaju razglasa u iznosu od 1.447,00 eura, knjiga za knjižnicu u iznosu od 1.333,95 eura te uredske stolice u iznosu od 120,00 eura.</w:t>
      </w:r>
    </w:p>
    <w:p w:rsid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lastRenderedPageBreak/>
        <w:t>Također su evidentirana ulaganja u opremu putem doniranih sredstava, i to donirani printeri i dva računala u ukupnoj vrijednosti od 2.135,48 eura</w:t>
      </w:r>
      <w:r>
        <w:rPr>
          <w:rFonts w:ascii="Times New Roman" w:eastAsia="Times New Roman" w:hAnsi="Times New Roman" w:cs="Times New Roman"/>
          <w:sz w:val="24"/>
          <w:szCs w:val="24"/>
          <w:lang w:eastAsia="hr-HR"/>
        </w:rPr>
        <w:t>.</w:t>
      </w:r>
    </w:p>
    <w:p w:rsidR="00EE2663" w:rsidRPr="00EE2663" w:rsidRDefault="00EE2663" w:rsidP="00EE2663">
      <w:pPr>
        <w:pStyle w:val="Odlomakpopisa"/>
        <w:numPr>
          <w:ilvl w:val="0"/>
          <w:numId w:val="16"/>
        </w:numPr>
        <w:spacing w:before="100" w:beforeAutospacing="1" w:after="100" w:afterAutospacing="1" w:line="360" w:lineRule="auto"/>
        <w:jc w:val="both"/>
        <w:rPr>
          <w:rFonts w:ascii="Times New Roman" w:eastAsia="Times New Roman" w:hAnsi="Times New Roman" w:cs="Times New Roman"/>
          <w:b/>
          <w:i/>
          <w:sz w:val="24"/>
          <w:szCs w:val="24"/>
          <w:lang w:eastAsia="hr-HR"/>
        </w:rPr>
      </w:pPr>
      <w:r w:rsidRPr="00EE2663">
        <w:rPr>
          <w:rFonts w:ascii="Times New Roman" w:eastAsia="Times New Roman" w:hAnsi="Times New Roman" w:cs="Times New Roman"/>
          <w:b/>
          <w:i/>
          <w:sz w:val="24"/>
          <w:szCs w:val="24"/>
          <w:lang w:eastAsia="hr-HR"/>
        </w:rPr>
        <w:t>Rashodi za dodatna ulaganja na nefinancijskog imovini</w:t>
      </w:r>
    </w:p>
    <w:p w:rsidR="00EE2663" w:rsidRPr="00EE2663" w:rsidRDefault="00EE2663" w:rsidP="00EE2663">
      <w:pPr>
        <w:spacing w:before="100" w:beforeAutospacing="1" w:after="100" w:afterAutospacing="1" w:line="360" w:lineRule="auto"/>
        <w:jc w:val="both"/>
        <w:rPr>
          <w:rFonts w:ascii="Times New Roman" w:eastAsia="Times New Roman" w:hAnsi="Times New Roman" w:cs="Times New Roman"/>
          <w:sz w:val="24"/>
          <w:szCs w:val="24"/>
          <w:lang w:eastAsia="hr-HR"/>
        </w:rPr>
      </w:pPr>
      <w:r w:rsidRPr="00EE2663">
        <w:rPr>
          <w:rFonts w:ascii="Times New Roman" w:eastAsia="Times New Roman" w:hAnsi="Times New Roman" w:cs="Times New Roman"/>
          <w:sz w:val="24"/>
          <w:szCs w:val="24"/>
          <w:lang w:eastAsia="hr-HR"/>
        </w:rPr>
        <w:t xml:space="preserve">Proračunom za 2026. godinu planirani su rashodi u iznosu od </w:t>
      </w:r>
      <w:r>
        <w:rPr>
          <w:rFonts w:ascii="Times New Roman" w:eastAsia="Times New Roman" w:hAnsi="Times New Roman" w:cs="Times New Roman"/>
          <w:sz w:val="24"/>
          <w:szCs w:val="24"/>
          <w:lang w:eastAsia="hr-HR"/>
        </w:rPr>
        <w:t>50.000</w:t>
      </w:r>
      <w:r w:rsidRPr="00EE2663">
        <w:rPr>
          <w:rFonts w:ascii="Times New Roman" w:eastAsia="Times New Roman" w:hAnsi="Times New Roman" w:cs="Times New Roman"/>
          <w:sz w:val="24"/>
          <w:szCs w:val="24"/>
          <w:lang w:eastAsia="hr-HR"/>
        </w:rPr>
        <w:t xml:space="preserve">,00 eura, od čega je ostvareno </w:t>
      </w:r>
      <w:r>
        <w:rPr>
          <w:rFonts w:ascii="Times New Roman" w:eastAsia="Times New Roman" w:hAnsi="Times New Roman" w:cs="Times New Roman"/>
          <w:sz w:val="24"/>
          <w:szCs w:val="24"/>
          <w:lang w:eastAsia="hr-HR"/>
        </w:rPr>
        <w:t>3.250,00</w:t>
      </w:r>
      <w:r w:rsidRPr="00EE2663">
        <w:rPr>
          <w:rFonts w:ascii="Times New Roman" w:eastAsia="Times New Roman" w:hAnsi="Times New Roman" w:cs="Times New Roman"/>
          <w:sz w:val="24"/>
          <w:szCs w:val="24"/>
          <w:lang w:eastAsia="hr-HR"/>
        </w:rPr>
        <w:t xml:space="preserve"> eura, odnosno </w:t>
      </w:r>
      <w:r>
        <w:rPr>
          <w:rFonts w:ascii="Times New Roman" w:eastAsia="Times New Roman" w:hAnsi="Times New Roman" w:cs="Times New Roman"/>
          <w:sz w:val="24"/>
          <w:szCs w:val="24"/>
          <w:lang w:eastAsia="hr-HR"/>
        </w:rPr>
        <w:t>6,50</w:t>
      </w:r>
      <w:r w:rsidRPr="00EE2663">
        <w:rPr>
          <w:rFonts w:ascii="Times New Roman" w:eastAsia="Times New Roman" w:hAnsi="Times New Roman" w:cs="Times New Roman"/>
          <w:sz w:val="24"/>
          <w:szCs w:val="24"/>
          <w:lang w:eastAsia="hr-HR"/>
        </w:rPr>
        <w:t xml:space="preserve"> % godišnjeg plana.</w:t>
      </w:r>
    </w:p>
    <w:p w:rsidR="00C93861" w:rsidRDefault="00EE2663" w:rsidP="004644D8">
      <w:pPr>
        <w:spacing w:line="360" w:lineRule="auto"/>
        <w:jc w:val="both"/>
        <w:rPr>
          <w:rFonts w:ascii="Times New Roman" w:hAnsi="Times New Roman" w:cs="Times New Roman"/>
          <w:sz w:val="24"/>
          <w:szCs w:val="24"/>
        </w:rPr>
      </w:pPr>
      <w:r w:rsidRPr="00B36F7C">
        <w:rPr>
          <w:rFonts w:ascii="Times New Roman" w:eastAsia="Times New Roman" w:hAnsi="Times New Roman" w:cs="Times New Roman"/>
          <w:sz w:val="24"/>
          <w:szCs w:val="24"/>
          <w:lang w:eastAsia="hr-HR"/>
        </w:rPr>
        <w:t>Ostvarena sredstva utrošena su za rekonstrukciju igrališta, odnosno izradu projektne dokumentacije za vanjsko košarkaško igralište u iznosu od 3.250,00 eura</w:t>
      </w:r>
    </w:p>
    <w:p w:rsidR="001624E4" w:rsidRPr="001E0E79" w:rsidRDefault="001E0E79" w:rsidP="004644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E90FCE" w:rsidRPr="001E0E79">
        <w:rPr>
          <w:rFonts w:ascii="Times New Roman" w:hAnsi="Times New Roman" w:cs="Times New Roman"/>
          <w:b/>
          <w:sz w:val="24"/>
          <w:szCs w:val="24"/>
        </w:rPr>
        <w:t>REZULTAT POSLOVANJA</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Ukupni prihodi i primici u izvještajnom razdoblju prethodne godine iznosili su 1.902.516,39 eura, dok su u istom razdoblju 2026. godine ostvareni u iznosu od 1.980.878,90 eura, što predstavlja povećanje od 4,12 %.</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Ukupni rashodi i izdaci u izvještajnom razdoblju prethodne godine iznosili su 1.844.755,66 eura, dok su u istom razdoblju 2026. godine ostvareni u iznosu od 1.940.973,60 eura, š</w:t>
      </w:r>
      <w:r w:rsidR="00EE2663">
        <w:rPr>
          <w:rFonts w:ascii="Times New Roman" w:eastAsia="Times New Roman" w:hAnsi="Times New Roman" w:cs="Times New Roman"/>
          <w:sz w:val="24"/>
          <w:szCs w:val="24"/>
          <w:lang w:eastAsia="hr-HR"/>
        </w:rPr>
        <w:t>to predstavlja povećanje od 5,22</w:t>
      </w:r>
      <w:r w:rsidRPr="00B36F7C">
        <w:rPr>
          <w:rFonts w:ascii="Times New Roman" w:eastAsia="Times New Roman" w:hAnsi="Times New Roman" w:cs="Times New Roman"/>
          <w:sz w:val="24"/>
          <w:szCs w:val="24"/>
          <w:lang w:eastAsia="hr-HR"/>
        </w:rPr>
        <w:t xml:space="preserve"> %.</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Ostvaren je metodološki manjak u iznosu od 235.322,63 eura, koji je nastao zbog evidentiranja troškova plaća za lipanj 2026. godine, dok će pripadajuća sredstva biti uplaćena u srpnju 2026. godine. Navedeni manjak posljedica je privremenog nedostatka sredstava iz nadležnog proračuna za lipanj 2026. godine, i to za plaće zaposlenika u produženom boravku u iznosu od 5.191,00 eura, plaće pomoćnika u nastavi u iznosu od 10.977,65 eura te ugovora o djelu u iznosu od 127,43 eura.</w:t>
      </w:r>
    </w:p>
    <w:p w:rsidR="00B36F7C" w:rsidRPr="00B36F7C"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Dodatno, manjak se odnosi na nedostatak sredstava Ministarstva znanosti, obrazovanja i mladih za financiranje plaća u iznosu od 242.797,01 eura.</w:t>
      </w:r>
    </w:p>
    <w:p w:rsidR="00C94641" w:rsidRDefault="00B36F7C"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r w:rsidRPr="00B36F7C">
        <w:rPr>
          <w:rFonts w:ascii="Times New Roman" w:eastAsia="Times New Roman" w:hAnsi="Times New Roman" w:cs="Times New Roman"/>
          <w:sz w:val="24"/>
          <w:szCs w:val="24"/>
          <w:lang w:eastAsia="hr-HR"/>
        </w:rPr>
        <w:t>Istodobno je ostvaren višak sredstava iz drugih izvora financiranja, i to vlastitih prihoda u iznosu od 2.423,64 eura, prihoda za posebne namjene u iznosu od 15.574,80 eura, pomoći u iznosu od 3.400,85 eura, prihoda od donacija u iznosu od 2.146,68 eura te prihoda od prodaje nefinancijske imovine u iznosu od 224,49 eura.</w:t>
      </w:r>
    </w:p>
    <w:p w:rsidR="004644D8" w:rsidRPr="00B36F7C" w:rsidRDefault="004644D8" w:rsidP="004644D8">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6C6431" w:rsidRDefault="0087510B" w:rsidP="00C94641">
      <w:pPr>
        <w:pStyle w:val="Odlomakpopisa"/>
        <w:numPr>
          <w:ilvl w:val="0"/>
          <w:numId w:val="9"/>
        </w:num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POSEBNI DIO</w:t>
      </w:r>
    </w:p>
    <w:p w:rsidR="00C94641" w:rsidRDefault="00C94641" w:rsidP="00C94641">
      <w:pPr>
        <w:pStyle w:val="Odlomakpopisa"/>
        <w:spacing w:after="0"/>
        <w:jc w:val="center"/>
        <w:rPr>
          <w:rFonts w:ascii="Times New Roman" w:hAnsi="Times New Roman" w:cs="Times New Roman"/>
          <w:b/>
          <w:sz w:val="24"/>
          <w:szCs w:val="24"/>
        </w:rPr>
      </w:pPr>
      <w:r>
        <w:rPr>
          <w:rFonts w:ascii="Times New Roman" w:hAnsi="Times New Roman" w:cs="Times New Roman"/>
          <w:b/>
          <w:sz w:val="24"/>
          <w:szCs w:val="24"/>
        </w:rPr>
        <w:t>Obrazloženje izvršenja programa kroz aktivnosti i projekte zajedno s ciljevima i pokazateljima uspješnosti realizacije ciljeva</w:t>
      </w:r>
    </w:p>
    <w:p w:rsidR="00031041" w:rsidRPr="001E0E79" w:rsidRDefault="00031041" w:rsidP="00031041">
      <w:pPr>
        <w:pStyle w:val="Odlomakpopisa"/>
        <w:spacing w:after="0"/>
        <w:rPr>
          <w:rFonts w:ascii="Times New Roman" w:hAnsi="Times New Roman" w:cs="Times New Roman"/>
          <w:b/>
          <w:sz w:val="24"/>
          <w:szCs w:val="24"/>
        </w:rPr>
      </w:pPr>
    </w:p>
    <w:p w:rsidR="008B13EE" w:rsidRPr="008B13EE" w:rsidRDefault="008B13EE" w:rsidP="00A451BB">
      <w:pPr>
        <w:pStyle w:val="Opisslike"/>
        <w:keepNext/>
        <w:spacing w:after="0" w:line="276" w:lineRule="auto"/>
        <w:rPr>
          <w:rFonts w:ascii="Times New Roman" w:hAnsi="Times New Roman" w:cs="Times New Roman"/>
          <w:sz w:val="20"/>
        </w:rPr>
      </w:pPr>
      <w:r w:rsidRPr="008B13EE">
        <w:rPr>
          <w:rFonts w:ascii="Times New Roman" w:hAnsi="Times New Roman" w:cs="Times New Roman"/>
          <w:sz w:val="20"/>
        </w:rPr>
        <w:t xml:space="preserve">Tablica </w:t>
      </w:r>
      <w:r w:rsidRPr="008B13EE">
        <w:rPr>
          <w:rFonts w:ascii="Times New Roman" w:hAnsi="Times New Roman" w:cs="Times New Roman"/>
          <w:sz w:val="20"/>
        </w:rPr>
        <w:fldChar w:fldCharType="begin"/>
      </w:r>
      <w:r w:rsidRPr="008B13EE">
        <w:rPr>
          <w:rFonts w:ascii="Times New Roman" w:hAnsi="Times New Roman" w:cs="Times New Roman"/>
          <w:sz w:val="20"/>
        </w:rPr>
        <w:instrText xml:space="preserve"> SEQ Tablica \* ARABIC </w:instrText>
      </w:r>
      <w:r w:rsidRPr="008B13EE">
        <w:rPr>
          <w:rFonts w:ascii="Times New Roman" w:hAnsi="Times New Roman" w:cs="Times New Roman"/>
          <w:sz w:val="20"/>
        </w:rPr>
        <w:fldChar w:fldCharType="separate"/>
      </w:r>
      <w:r w:rsidR="00EC6936">
        <w:rPr>
          <w:rFonts w:ascii="Times New Roman" w:hAnsi="Times New Roman" w:cs="Times New Roman"/>
          <w:noProof/>
          <w:sz w:val="20"/>
        </w:rPr>
        <w:t>1</w:t>
      </w:r>
      <w:r w:rsidRPr="008B13EE">
        <w:rPr>
          <w:rFonts w:ascii="Times New Roman" w:hAnsi="Times New Roman" w:cs="Times New Roman"/>
          <w:sz w:val="20"/>
        </w:rPr>
        <w:fldChar w:fldCharType="end"/>
      </w:r>
      <w:r w:rsidRPr="008B13EE">
        <w:rPr>
          <w:rFonts w:ascii="Times New Roman" w:hAnsi="Times New Roman" w:cs="Times New Roman"/>
          <w:sz w:val="20"/>
        </w:rPr>
        <w:t xml:space="preserve"> Programi, aktivnosti, kapitalni i tekući projekti</w:t>
      </w:r>
      <w:r w:rsidR="00C93861">
        <w:rPr>
          <w:rFonts w:ascii="Times New Roman" w:hAnsi="Times New Roman" w:cs="Times New Roman"/>
          <w:sz w:val="20"/>
        </w:rPr>
        <w:t xml:space="preserve"> u 2026</w:t>
      </w:r>
      <w:r>
        <w:rPr>
          <w:rFonts w:ascii="Times New Roman" w:hAnsi="Times New Roman" w:cs="Times New Roman"/>
          <w:sz w:val="20"/>
        </w:rPr>
        <w:t>. godini</w:t>
      </w:r>
    </w:p>
    <w:tbl>
      <w:tblPr>
        <w:tblW w:w="9062" w:type="dxa"/>
        <w:tblLook w:val="04A0" w:firstRow="1" w:lastRow="0" w:firstColumn="1" w:lastColumn="0" w:noHBand="0" w:noVBand="1"/>
      </w:tblPr>
      <w:tblGrid>
        <w:gridCol w:w="4611"/>
        <w:gridCol w:w="1690"/>
        <w:gridCol w:w="1708"/>
        <w:gridCol w:w="1053"/>
      </w:tblGrid>
      <w:tr w:rsidR="005A1603" w:rsidRPr="008B13EE" w:rsidTr="008B13EE">
        <w:trPr>
          <w:trHeight w:val="243"/>
        </w:trPr>
        <w:tc>
          <w:tcPr>
            <w:tcW w:w="4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AKTIVNOST / PROJEKT</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TEKUĆI PLAN ZA 202</w:t>
            </w:r>
            <w:r w:rsidR="00C93861">
              <w:rPr>
                <w:rFonts w:ascii="Times New Roman" w:eastAsia="Times New Roman" w:hAnsi="Times New Roman" w:cs="Times New Roman"/>
                <w:b/>
                <w:bCs/>
                <w:lang w:eastAsia="hr-HR"/>
              </w:rPr>
              <w:t>6</w:t>
            </w:r>
            <w:r w:rsidRPr="001E0E79">
              <w:rPr>
                <w:rFonts w:ascii="Times New Roman" w:eastAsia="Times New Roman" w:hAnsi="Times New Roman" w:cs="Times New Roman"/>
                <w:b/>
                <w:bCs/>
                <w:lang w:eastAsia="hr-HR"/>
              </w:rPr>
              <w:t>.</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lang w:eastAsia="hr-HR"/>
              </w:rPr>
            </w:pPr>
            <w:r w:rsidRPr="001E0E79">
              <w:rPr>
                <w:rFonts w:ascii="Times New Roman" w:eastAsia="Times New Roman" w:hAnsi="Times New Roman" w:cs="Times New Roman"/>
                <w:b/>
                <w:bCs/>
                <w:lang w:eastAsia="hr-HR"/>
              </w:rPr>
              <w:t xml:space="preserve">IZVRŠENJE </w:t>
            </w:r>
            <w:r w:rsidR="00914644" w:rsidRPr="001E0E79">
              <w:rPr>
                <w:rFonts w:ascii="Times New Roman" w:eastAsia="Times New Roman" w:hAnsi="Times New Roman" w:cs="Times New Roman"/>
                <w:b/>
                <w:bCs/>
                <w:lang w:eastAsia="hr-HR"/>
              </w:rPr>
              <w:t xml:space="preserve">      </w:t>
            </w:r>
            <w:r w:rsidR="00C93861">
              <w:rPr>
                <w:rFonts w:ascii="Times New Roman" w:eastAsia="Times New Roman" w:hAnsi="Times New Roman" w:cs="Times New Roman"/>
                <w:b/>
                <w:bCs/>
                <w:lang w:eastAsia="hr-HR"/>
              </w:rPr>
              <w:t>I-VI</w:t>
            </w:r>
            <w:r w:rsidRPr="001E0E79">
              <w:rPr>
                <w:rFonts w:ascii="Times New Roman" w:eastAsia="Times New Roman" w:hAnsi="Times New Roman" w:cs="Times New Roman"/>
                <w:b/>
                <w:bCs/>
                <w:lang w:eastAsia="hr-HR"/>
              </w:rPr>
              <w:t xml:space="preserve"> 202</w:t>
            </w:r>
            <w:r w:rsidR="00C93861">
              <w:rPr>
                <w:rFonts w:ascii="Times New Roman" w:eastAsia="Times New Roman" w:hAnsi="Times New Roman" w:cs="Times New Roman"/>
                <w:b/>
                <w:bCs/>
                <w:lang w:eastAsia="hr-HR"/>
              </w:rPr>
              <w:t>6</w:t>
            </w:r>
            <w:r w:rsidRPr="001E0E79">
              <w:rPr>
                <w:rFonts w:ascii="Times New Roman" w:eastAsia="Times New Roman" w:hAnsi="Times New Roman" w:cs="Times New Roman"/>
                <w:b/>
                <w:bCs/>
                <w:lang w:eastAsia="hr-HR"/>
              </w:rPr>
              <w:t>.</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C6431" w:rsidRPr="001E0E79" w:rsidRDefault="006C6431" w:rsidP="001E0E79">
            <w:pPr>
              <w:spacing w:after="0"/>
              <w:jc w:val="center"/>
              <w:rPr>
                <w:rFonts w:ascii="Times New Roman" w:eastAsia="Times New Roman" w:hAnsi="Times New Roman" w:cs="Times New Roman"/>
                <w:b/>
                <w:bCs/>
                <w:sz w:val="20"/>
                <w:lang w:eastAsia="hr-HR"/>
              </w:rPr>
            </w:pPr>
            <w:r w:rsidRPr="001E0E79">
              <w:rPr>
                <w:rFonts w:ascii="Times New Roman" w:eastAsia="Times New Roman" w:hAnsi="Times New Roman" w:cs="Times New Roman"/>
                <w:b/>
                <w:bCs/>
                <w:sz w:val="20"/>
                <w:lang w:eastAsia="hr-HR"/>
              </w:rPr>
              <w:t>INDEKS</w:t>
            </w:r>
            <w:r w:rsidR="00C94641">
              <w:rPr>
                <w:rFonts w:ascii="Times New Roman" w:eastAsia="Times New Roman" w:hAnsi="Times New Roman" w:cs="Times New Roman"/>
                <w:b/>
                <w:bCs/>
                <w:sz w:val="20"/>
                <w:lang w:eastAsia="hr-HR"/>
              </w:rPr>
              <w:t xml:space="preserve"> %</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0" w:name="_Hlk77184635"/>
            <w:r w:rsidRPr="008B13EE">
              <w:rPr>
                <w:rFonts w:ascii="Times New Roman" w:eastAsia="Times New Roman" w:hAnsi="Times New Roman" w:cs="Times New Roman"/>
                <w:b/>
                <w:bCs/>
                <w:lang w:eastAsia="hr-HR"/>
              </w:rPr>
              <w:t>Program – ERASMUS +</w:t>
            </w:r>
            <w:bookmarkEnd w:id="0"/>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721</w:t>
            </w:r>
            <w:r w:rsidR="006C6431" w:rsidRPr="008B13EE">
              <w:rPr>
                <w:rFonts w:ascii="Times New Roman" w:eastAsia="Times New Roman" w:hAnsi="Times New Roman" w:cs="Times New Roman"/>
                <w:b/>
                <w:bCs/>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0</w:t>
            </w:r>
            <w:r w:rsidR="00D05857">
              <w:rPr>
                <w:rFonts w:ascii="Times New Roman" w:eastAsia="Times New Roman" w:hAnsi="Times New Roman" w:cs="Times New Roman"/>
                <w:b/>
                <w:bCs/>
                <w:lang w:eastAsia="hr-HR"/>
              </w:rPr>
              <w:t>,00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0,00</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C.A.R.E.</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721,00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r>
      <w:tr w:rsidR="005A1603" w:rsidRPr="008B13EE" w:rsidTr="008B13EE">
        <w:trPr>
          <w:trHeight w:val="243"/>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1" w:name="_Hlk77184887"/>
            <w:r w:rsidRPr="008B13EE">
              <w:rPr>
                <w:rFonts w:ascii="Times New Roman" w:eastAsia="Times New Roman" w:hAnsi="Times New Roman" w:cs="Times New Roman"/>
                <w:b/>
                <w:bCs/>
                <w:lang w:eastAsia="hr-HR"/>
              </w:rPr>
              <w:t>Program – OSNOVNO ŠKOLSTVO</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3.816.718</w:t>
            </w:r>
            <w:r w:rsidR="004732F5">
              <w:rPr>
                <w:rFonts w:ascii="Times New Roman" w:eastAsia="Times New Roman" w:hAnsi="Times New Roman" w:cs="Times New Roman"/>
                <w:b/>
                <w:bCs/>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1.894.459,28</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49,64</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914644" w:rsidP="001E0E79">
            <w:pPr>
              <w:spacing w:after="0"/>
              <w:rPr>
                <w:rFonts w:ascii="Times New Roman" w:eastAsia="Times New Roman" w:hAnsi="Times New Roman" w:cs="Times New Roman"/>
                <w:lang w:eastAsia="hr-HR"/>
              </w:rPr>
            </w:pPr>
            <w:bookmarkStart w:id="2" w:name="_Hlk77602779"/>
            <w:bookmarkEnd w:id="1"/>
            <w:r w:rsidRPr="008B13EE">
              <w:rPr>
                <w:rFonts w:ascii="Times New Roman" w:eastAsia="Times New Roman" w:hAnsi="Times New Roman" w:cs="Times New Roman"/>
                <w:lang w:eastAsia="hr-HR"/>
              </w:rPr>
              <w:t>Aktivnost – M</w:t>
            </w:r>
            <w:r w:rsidR="006C6431" w:rsidRPr="008B13EE">
              <w:rPr>
                <w:rFonts w:ascii="Times New Roman" w:eastAsia="Times New Roman" w:hAnsi="Times New Roman" w:cs="Times New Roman"/>
                <w:lang w:eastAsia="hr-HR"/>
              </w:rPr>
              <w:t>aterijalni i financijski rashodi do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249.300</w:t>
            </w:r>
            <w:r w:rsidR="004732F5">
              <w:rPr>
                <w:rFonts w:ascii="Times New Roman" w:eastAsia="Times New Roman" w:hAnsi="Times New Roman" w:cs="Times New Roman"/>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168.226,64</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67,48</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914644"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M</w:t>
            </w:r>
            <w:r w:rsidR="006C6431" w:rsidRPr="008B13EE">
              <w:rPr>
                <w:rFonts w:ascii="Times New Roman" w:eastAsia="Times New Roman" w:hAnsi="Times New Roman" w:cs="Times New Roman"/>
                <w:lang w:eastAsia="hr-HR"/>
              </w:rPr>
              <w:t>aterijalni i financijski rashodi iznad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258.093</w:t>
            </w:r>
            <w:r w:rsidR="004732F5">
              <w:rPr>
                <w:rFonts w:ascii="Times New Roman" w:eastAsia="Times New Roman" w:hAnsi="Times New Roman" w:cs="Times New Roman"/>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128.588,69</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49,82</w:t>
            </w:r>
          </w:p>
        </w:tc>
      </w:tr>
      <w:tr w:rsidR="00914644"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tcPr>
          <w:p w:rsidR="00914644" w:rsidRPr="008B13EE" w:rsidRDefault="00914644"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Aktivnost-rashodi za zaposlene iznad minimalnog standarda</w:t>
            </w:r>
          </w:p>
        </w:tc>
        <w:tc>
          <w:tcPr>
            <w:tcW w:w="1690" w:type="dxa"/>
            <w:tcBorders>
              <w:top w:val="nil"/>
              <w:left w:val="nil"/>
              <w:bottom w:val="single" w:sz="4" w:space="0" w:color="auto"/>
              <w:right w:val="single" w:sz="4" w:space="0" w:color="auto"/>
            </w:tcBorders>
            <w:shd w:val="clear" w:color="auto" w:fill="auto"/>
            <w:noWrap/>
            <w:vAlign w:val="bottom"/>
          </w:tcPr>
          <w:p w:rsidR="00914644"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1.200,00</w:t>
            </w:r>
          </w:p>
        </w:tc>
        <w:tc>
          <w:tcPr>
            <w:tcW w:w="1708" w:type="dxa"/>
            <w:tcBorders>
              <w:top w:val="nil"/>
              <w:left w:val="nil"/>
              <w:bottom w:val="single" w:sz="4" w:space="0" w:color="auto"/>
              <w:right w:val="single" w:sz="4" w:space="0" w:color="auto"/>
            </w:tcBorders>
            <w:shd w:val="clear" w:color="auto" w:fill="auto"/>
            <w:noWrap/>
            <w:vAlign w:val="bottom"/>
          </w:tcPr>
          <w:p w:rsidR="00914644"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162,00</w:t>
            </w:r>
          </w:p>
        </w:tc>
        <w:tc>
          <w:tcPr>
            <w:tcW w:w="1053" w:type="dxa"/>
            <w:tcBorders>
              <w:top w:val="nil"/>
              <w:left w:val="nil"/>
              <w:bottom w:val="single" w:sz="4" w:space="0" w:color="auto"/>
              <w:right w:val="single" w:sz="4" w:space="0" w:color="auto"/>
            </w:tcBorders>
            <w:shd w:val="clear" w:color="auto" w:fill="auto"/>
            <w:noWrap/>
            <w:vAlign w:val="bottom"/>
          </w:tcPr>
          <w:p w:rsidR="00914644"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13,50</w:t>
            </w:r>
          </w:p>
        </w:tc>
      </w:tr>
      <w:tr w:rsidR="005A1603" w:rsidRPr="008B13EE" w:rsidTr="008B13EE">
        <w:trPr>
          <w:trHeight w:val="282"/>
        </w:trPr>
        <w:tc>
          <w:tcPr>
            <w:tcW w:w="4611" w:type="dxa"/>
            <w:tcBorders>
              <w:top w:val="nil"/>
              <w:left w:val="single" w:sz="4" w:space="0" w:color="auto"/>
              <w:bottom w:val="single" w:sz="4" w:space="0" w:color="auto"/>
              <w:right w:val="single" w:sz="4" w:space="0" w:color="auto"/>
            </w:tcBorders>
            <w:shd w:val="clear" w:color="auto" w:fill="auto"/>
            <w:vAlign w:val="bottom"/>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produženi boravak</w:t>
            </w:r>
          </w:p>
        </w:tc>
        <w:tc>
          <w:tcPr>
            <w:tcW w:w="1690" w:type="dxa"/>
            <w:tcBorders>
              <w:top w:val="nil"/>
              <w:left w:val="nil"/>
              <w:bottom w:val="single" w:sz="4" w:space="0" w:color="auto"/>
              <w:right w:val="single" w:sz="4" w:space="0" w:color="auto"/>
            </w:tcBorders>
            <w:shd w:val="clear" w:color="auto" w:fill="auto"/>
            <w:noWrap/>
            <w:vAlign w:val="bottom"/>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111.000</w:t>
            </w:r>
            <w:r w:rsidR="00914644" w:rsidRPr="008B13EE">
              <w:rPr>
                <w:rFonts w:ascii="Times New Roman" w:eastAsia="Times New Roman" w:hAnsi="Times New Roman" w:cs="Times New Roman"/>
                <w:lang w:eastAsia="hr-HR"/>
              </w:rPr>
              <w:t>,00</w:t>
            </w:r>
          </w:p>
        </w:tc>
        <w:tc>
          <w:tcPr>
            <w:tcW w:w="1708" w:type="dxa"/>
            <w:tcBorders>
              <w:top w:val="nil"/>
              <w:left w:val="nil"/>
              <w:bottom w:val="single" w:sz="4" w:space="0" w:color="auto"/>
              <w:right w:val="single" w:sz="4" w:space="0" w:color="auto"/>
            </w:tcBorders>
            <w:shd w:val="clear" w:color="auto" w:fill="auto"/>
            <w:noWrap/>
            <w:vAlign w:val="bottom"/>
          </w:tcPr>
          <w:p w:rsidR="006C6431" w:rsidRPr="008B13EE" w:rsidRDefault="005F4388" w:rsidP="001E0E79">
            <w:pPr>
              <w:spacing w:after="0"/>
              <w:jc w:val="right"/>
              <w:rPr>
                <w:rFonts w:ascii="Times New Roman" w:hAnsi="Times New Roman" w:cs="Times New Roman"/>
              </w:rPr>
            </w:pPr>
            <w:r>
              <w:rPr>
                <w:rFonts w:ascii="Times New Roman" w:hAnsi="Times New Roman" w:cs="Times New Roman"/>
              </w:rPr>
              <w:t>47.112,09</w:t>
            </w:r>
          </w:p>
        </w:tc>
        <w:tc>
          <w:tcPr>
            <w:tcW w:w="1053" w:type="dxa"/>
            <w:tcBorders>
              <w:top w:val="nil"/>
              <w:left w:val="nil"/>
              <w:bottom w:val="single" w:sz="4" w:space="0" w:color="auto"/>
              <w:right w:val="single" w:sz="4" w:space="0" w:color="auto"/>
            </w:tcBorders>
            <w:shd w:val="clear" w:color="auto" w:fill="auto"/>
            <w:noWrap/>
            <w:vAlign w:val="bottom"/>
          </w:tcPr>
          <w:p w:rsidR="006C6431" w:rsidRPr="008B13EE" w:rsidRDefault="005F4388" w:rsidP="001E0E79">
            <w:pPr>
              <w:spacing w:after="0"/>
              <w:jc w:val="right"/>
              <w:rPr>
                <w:rFonts w:ascii="Times New Roman" w:hAnsi="Times New Roman" w:cs="Times New Roman"/>
              </w:rPr>
            </w:pPr>
            <w:r>
              <w:rPr>
                <w:rFonts w:ascii="Times New Roman" w:hAnsi="Times New Roman" w:cs="Times New Roman"/>
              </w:rPr>
              <w:t>42,44</w:t>
            </w:r>
          </w:p>
        </w:tc>
      </w:tr>
      <w:tr w:rsidR="005A1603" w:rsidRPr="008B13EE" w:rsidTr="008B13EE">
        <w:trPr>
          <w:trHeight w:val="322"/>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Aktivnost – rashodi za zaposlene-državni proračun</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3.044.060,00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1.513.814,54</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5F4388"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49,73</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5F4388">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 xml:space="preserve">Kapitalni projekt – </w:t>
            </w:r>
            <w:r w:rsidR="005F4388">
              <w:rPr>
                <w:rFonts w:ascii="Times New Roman" w:eastAsia="Times New Roman" w:hAnsi="Times New Roman" w:cs="Times New Roman"/>
                <w:lang w:eastAsia="hr-HR"/>
              </w:rPr>
              <w:t>rekonstrukcija i dogradnja ob</w:t>
            </w:r>
            <w:r w:rsidR="007275EA">
              <w:rPr>
                <w:rFonts w:ascii="Times New Roman" w:eastAsia="Times New Roman" w:hAnsi="Times New Roman" w:cs="Times New Roman"/>
                <w:lang w:eastAsia="hr-HR"/>
              </w:rPr>
              <w:t>jekata školstva do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50.000,00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3.250,00</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6,50</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Kapitalni projekt – nabava nefinancijske imovine iznad min.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72.714</w:t>
            </w:r>
            <w:r w:rsidR="004732F5">
              <w:rPr>
                <w:rFonts w:ascii="Times New Roman" w:eastAsia="Times New Roman" w:hAnsi="Times New Roman" w:cs="Times New Roman"/>
                <w:lang w:eastAsia="hr-HR"/>
              </w:rPr>
              <w:t>,00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17.996,43</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24,75</w:t>
            </w:r>
          </w:p>
        </w:tc>
      </w:tr>
      <w:tr w:rsidR="005A1603" w:rsidRPr="008B13EE" w:rsidTr="008B13EE">
        <w:trPr>
          <w:trHeight w:val="487"/>
        </w:trPr>
        <w:tc>
          <w:tcPr>
            <w:tcW w:w="4611" w:type="dxa"/>
            <w:tcBorders>
              <w:top w:val="nil"/>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održavanje školskih objekata do minimalnog standarda</w:t>
            </w:r>
          </w:p>
        </w:tc>
        <w:tc>
          <w:tcPr>
            <w:tcW w:w="1690"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30.351,00</w:t>
            </w:r>
          </w:p>
        </w:tc>
        <w:tc>
          <w:tcPr>
            <w:tcW w:w="1708"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15.308,89</w:t>
            </w:r>
          </w:p>
        </w:tc>
        <w:tc>
          <w:tcPr>
            <w:tcW w:w="1053" w:type="dxa"/>
            <w:tcBorders>
              <w:top w:val="nil"/>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lang w:eastAsia="hr-HR"/>
              </w:rPr>
            </w:pPr>
            <w:r>
              <w:rPr>
                <w:rFonts w:ascii="Times New Roman" w:eastAsia="Times New Roman" w:hAnsi="Times New Roman" w:cs="Times New Roman"/>
                <w:lang w:eastAsia="hr-HR"/>
              </w:rPr>
              <w:t>50,44</w:t>
            </w:r>
          </w:p>
        </w:tc>
      </w:tr>
      <w:tr w:rsidR="005A1603" w:rsidRPr="008B13EE" w:rsidTr="008B13EE">
        <w:trPr>
          <w:trHeight w:val="243"/>
        </w:trPr>
        <w:tc>
          <w:tcPr>
            <w:tcW w:w="46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6431" w:rsidRPr="008B13EE" w:rsidRDefault="006C6431" w:rsidP="001E0E79">
            <w:pPr>
              <w:spacing w:after="0"/>
              <w:rPr>
                <w:rFonts w:ascii="Times New Roman" w:eastAsia="Times New Roman" w:hAnsi="Times New Roman" w:cs="Times New Roman"/>
                <w:b/>
                <w:bCs/>
                <w:lang w:eastAsia="hr-HR"/>
              </w:rPr>
            </w:pPr>
            <w:bookmarkStart w:id="3" w:name="_Hlk77185365"/>
            <w:bookmarkEnd w:id="2"/>
            <w:r w:rsidRPr="008B13EE">
              <w:rPr>
                <w:rFonts w:ascii="Times New Roman" w:eastAsia="Times New Roman" w:hAnsi="Times New Roman" w:cs="Times New Roman"/>
                <w:b/>
                <w:bCs/>
                <w:lang w:eastAsia="hr-HR"/>
              </w:rPr>
              <w:t>Program – POMAGAČI U NASTAVI</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142.000,00</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63.104,68</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6C6431"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44,44</w:t>
            </w:r>
          </w:p>
        </w:tc>
      </w:tr>
      <w:bookmarkEnd w:id="3"/>
      <w:tr w:rsidR="007275EA" w:rsidRPr="008B13EE" w:rsidTr="008B13EE">
        <w:trPr>
          <w:trHeight w:val="283"/>
        </w:trPr>
        <w:tc>
          <w:tcPr>
            <w:tcW w:w="46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75EA" w:rsidRPr="008B13EE" w:rsidRDefault="007275EA" w:rsidP="007275EA">
            <w:pPr>
              <w:spacing w:after="0"/>
              <w:rPr>
                <w:rFonts w:ascii="Times New Roman" w:eastAsia="Times New Roman" w:hAnsi="Times New Roman" w:cs="Times New Roman"/>
                <w:lang w:eastAsia="hr-HR"/>
              </w:rPr>
            </w:pPr>
            <w:r w:rsidRPr="008B13EE">
              <w:rPr>
                <w:rFonts w:ascii="Times New Roman" w:eastAsia="Times New Roman" w:hAnsi="Times New Roman" w:cs="Times New Roman"/>
                <w:lang w:eastAsia="hr-HR"/>
              </w:rPr>
              <w:t>Tekući projekt – Korak u život jednakih mogućnosti-faza VII</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7275EA" w:rsidRPr="007275EA" w:rsidRDefault="007275EA" w:rsidP="007275EA">
            <w:pPr>
              <w:spacing w:after="0"/>
              <w:jc w:val="right"/>
              <w:rPr>
                <w:rFonts w:ascii="Times New Roman" w:eastAsia="Times New Roman" w:hAnsi="Times New Roman" w:cs="Times New Roman"/>
                <w:bCs/>
                <w:lang w:eastAsia="hr-HR"/>
              </w:rPr>
            </w:pPr>
            <w:r w:rsidRPr="007275EA">
              <w:rPr>
                <w:rFonts w:ascii="Times New Roman" w:eastAsia="Times New Roman" w:hAnsi="Times New Roman" w:cs="Times New Roman"/>
                <w:bCs/>
                <w:lang w:eastAsia="hr-HR"/>
              </w:rPr>
              <w:t>142.000,00</w:t>
            </w:r>
          </w:p>
        </w:tc>
        <w:tc>
          <w:tcPr>
            <w:tcW w:w="1708" w:type="dxa"/>
            <w:tcBorders>
              <w:top w:val="single" w:sz="4" w:space="0" w:color="auto"/>
              <w:left w:val="nil"/>
              <w:bottom w:val="single" w:sz="4" w:space="0" w:color="auto"/>
              <w:right w:val="single" w:sz="4" w:space="0" w:color="auto"/>
            </w:tcBorders>
            <w:shd w:val="clear" w:color="auto" w:fill="auto"/>
            <w:noWrap/>
            <w:vAlign w:val="bottom"/>
          </w:tcPr>
          <w:p w:rsidR="007275EA" w:rsidRPr="007275EA" w:rsidRDefault="007275EA" w:rsidP="007275EA">
            <w:pPr>
              <w:spacing w:after="0"/>
              <w:jc w:val="right"/>
              <w:rPr>
                <w:rFonts w:ascii="Times New Roman" w:eastAsia="Times New Roman" w:hAnsi="Times New Roman" w:cs="Times New Roman"/>
                <w:bCs/>
                <w:lang w:eastAsia="hr-HR"/>
              </w:rPr>
            </w:pPr>
            <w:r w:rsidRPr="007275EA">
              <w:rPr>
                <w:rFonts w:ascii="Times New Roman" w:eastAsia="Times New Roman" w:hAnsi="Times New Roman" w:cs="Times New Roman"/>
                <w:bCs/>
                <w:lang w:eastAsia="hr-HR"/>
              </w:rPr>
              <w:t>63.104,68</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7275EA" w:rsidRPr="007275EA" w:rsidRDefault="007275EA" w:rsidP="007275EA">
            <w:pPr>
              <w:spacing w:after="0"/>
              <w:jc w:val="right"/>
              <w:rPr>
                <w:rFonts w:ascii="Times New Roman" w:eastAsia="Times New Roman" w:hAnsi="Times New Roman" w:cs="Times New Roman"/>
                <w:bCs/>
                <w:lang w:eastAsia="hr-HR"/>
              </w:rPr>
            </w:pPr>
            <w:r w:rsidRPr="007275EA">
              <w:rPr>
                <w:rFonts w:ascii="Times New Roman" w:eastAsia="Times New Roman" w:hAnsi="Times New Roman" w:cs="Times New Roman"/>
                <w:bCs/>
                <w:lang w:eastAsia="hr-HR"/>
              </w:rPr>
              <w:t>44,44</w:t>
            </w:r>
          </w:p>
        </w:tc>
      </w:tr>
      <w:tr w:rsidR="006A2F32" w:rsidRPr="008B13EE" w:rsidTr="008B13EE">
        <w:trPr>
          <w:trHeight w:val="243"/>
        </w:trPr>
        <w:tc>
          <w:tcPr>
            <w:tcW w:w="4611" w:type="dxa"/>
            <w:tcBorders>
              <w:top w:val="nil"/>
              <w:left w:val="single" w:sz="4" w:space="0" w:color="auto"/>
              <w:bottom w:val="single" w:sz="4" w:space="0" w:color="auto"/>
              <w:right w:val="single" w:sz="4" w:space="0" w:color="auto"/>
            </w:tcBorders>
            <w:shd w:val="clear" w:color="000000" w:fill="FFFFFF"/>
            <w:vAlign w:val="bottom"/>
            <w:hideMark/>
          </w:tcPr>
          <w:p w:rsidR="006A2F32" w:rsidRPr="008B13EE" w:rsidRDefault="006A2F32" w:rsidP="001E0E79">
            <w:pPr>
              <w:spacing w:after="0"/>
              <w:rPr>
                <w:rFonts w:ascii="Times New Roman" w:eastAsia="Times New Roman" w:hAnsi="Times New Roman" w:cs="Times New Roman"/>
                <w:b/>
                <w:bCs/>
                <w:lang w:eastAsia="hr-HR"/>
              </w:rPr>
            </w:pPr>
            <w:r w:rsidRPr="008B13EE">
              <w:rPr>
                <w:rFonts w:ascii="Times New Roman" w:eastAsia="Times New Roman" w:hAnsi="Times New Roman" w:cs="Times New Roman"/>
                <w:b/>
                <w:bCs/>
                <w:lang w:eastAsia="hr-HR"/>
              </w:rPr>
              <w:t>SVEUKUPNO RASHODI / IZDACI</w:t>
            </w:r>
          </w:p>
        </w:tc>
        <w:tc>
          <w:tcPr>
            <w:tcW w:w="1690" w:type="dxa"/>
            <w:tcBorders>
              <w:top w:val="nil"/>
              <w:left w:val="nil"/>
              <w:bottom w:val="single" w:sz="4" w:space="0" w:color="auto"/>
              <w:right w:val="single" w:sz="4" w:space="0" w:color="auto"/>
            </w:tcBorders>
            <w:shd w:val="clear" w:color="000000" w:fill="FFFFFF"/>
            <w:noWrap/>
            <w:vAlign w:val="bottom"/>
            <w:hideMark/>
          </w:tcPr>
          <w:p w:rsidR="006A2F32"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3.959.439,00</w:t>
            </w:r>
          </w:p>
        </w:tc>
        <w:tc>
          <w:tcPr>
            <w:tcW w:w="1708" w:type="dxa"/>
            <w:tcBorders>
              <w:top w:val="nil"/>
              <w:left w:val="nil"/>
              <w:bottom w:val="single" w:sz="4" w:space="0" w:color="auto"/>
              <w:right w:val="single" w:sz="4" w:space="0" w:color="auto"/>
            </w:tcBorders>
            <w:shd w:val="clear" w:color="000000" w:fill="FFFFFF"/>
            <w:noWrap/>
            <w:vAlign w:val="bottom"/>
            <w:hideMark/>
          </w:tcPr>
          <w:p w:rsidR="006A2F32"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1.957.563,96</w:t>
            </w:r>
          </w:p>
        </w:tc>
        <w:tc>
          <w:tcPr>
            <w:tcW w:w="1053" w:type="dxa"/>
            <w:tcBorders>
              <w:top w:val="nil"/>
              <w:left w:val="nil"/>
              <w:bottom w:val="single" w:sz="4" w:space="0" w:color="auto"/>
              <w:right w:val="single" w:sz="4" w:space="0" w:color="auto"/>
            </w:tcBorders>
            <w:shd w:val="clear" w:color="000000" w:fill="FFFFFF"/>
            <w:noWrap/>
            <w:vAlign w:val="bottom"/>
            <w:hideMark/>
          </w:tcPr>
          <w:p w:rsidR="006A2F32" w:rsidRPr="008B13EE" w:rsidRDefault="007275EA" w:rsidP="001E0E79">
            <w:pPr>
              <w:spacing w:after="0"/>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49,44</w:t>
            </w:r>
          </w:p>
        </w:tc>
      </w:tr>
    </w:tbl>
    <w:p w:rsidR="006C6431" w:rsidRPr="00CC4715" w:rsidRDefault="006C6431" w:rsidP="00DB5E11">
      <w:pPr>
        <w:spacing w:line="360" w:lineRule="auto"/>
        <w:jc w:val="both"/>
        <w:rPr>
          <w:rFonts w:ascii="Times New Roman" w:hAnsi="Times New Roman" w:cs="Times New Roman"/>
          <w:sz w:val="24"/>
          <w:szCs w:val="24"/>
        </w:rPr>
      </w:pPr>
    </w:p>
    <w:p w:rsidR="00DA335D" w:rsidRPr="001E0E79" w:rsidRDefault="003E1635" w:rsidP="00DB5E11">
      <w:pPr>
        <w:autoSpaceDE w:val="0"/>
        <w:autoSpaceDN w:val="0"/>
        <w:adjustRightInd w:val="0"/>
        <w:spacing w:line="360" w:lineRule="auto"/>
        <w:jc w:val="both"/>
        <w:rPr>
          <w:rFonts w:ascii="Times New Roman" w:eastAsia="Times New Roman" w:hAnsi="Times New Roman" w:cs="Times New Roman"/>
          <w:b/>
          <w:bCs/>
          <w:color w:val="000000"/>
          <w:sz w:val="24"/>
          <w:szCs w:val="24"/>
          <w:u w:val="single"/>
          <w:lang w:eastAsia="hr-HR"/>
        </w:rPr>
      </w:pPr>
      <w:r>
        <w:rPr>
          <w:rFonts w:ascii="Times New Roman" w:eastAsia="Times New Roman" w:hAnsi="Times New Roman" w:cs="Times New Roman"/>
          <w:b/>
          <w:bCs/>
          <w:color w:val="000000"/>
          <w:sz w:val="24"/>
          <w:szCs w:val="24"/>
          <w:u w:val="single"/>
          <w:lang w:eastAsia="hr-HR"/>
        </w:rPr>
        <w:t>2</w:t>
      </w:r>
      <w:r w:rsidR="005F4388">
        <w:rPr>
          <w:rFonts w:ascii="Times New Roman" w:eastAsia="Times New Roman" w:hAnsi="Times New Roman" w:cs="Times New Roman"/>
          <w:b/>
          <w:bCs/>
          <w:color w:val="000000"/>
          <w:sz w:val="24"/>
          <w:szCs w:val="24"/>
          <w:u w:val="single"/>
          <w:lang w:eastAsia="hr-HR"/>
        </w:rPr>
        <w:t>.1</w:t>
      </w:r>
      <w:r w:rsidR="001E0E79">
        <w:rPr>
          <w:rFonts w:ascii="Times New Roman" w:eastAsia="Times New Roman" w:hAnsi="Times New Roman" w:cs="Times New Roman"/>
          <w:b/>
          <w:bCs/>
          <w:color w:val="000000"/>
          <w:sz w:val="24"/>
          <w:szCs w:val="24"/>
          <w:u w:val="single"/>
          <w:lang w:eastAsia="hr-HR"/>
        </w:rPr>
        <w:t xml:space="preserve">. </w:t>
      </w:r>
      <w:r w:rsidR="00DA335D" w:rsidRPr="001E0E79">
        <w:rPr>
          <w:rFonts w:ascii="Times New Roman" w:eastAsia="Times New Roman" w:hAnsi="Times New Roman" w:cs="Times New Roman"/>
          <w:b/>
          <w:bCs/>
          <w:color w:val="000000"/>
          <w:sz w:val="24"/>
          <w:szCs w:val="24"/>
          <w:u w:val="single"/>
          <w:lang w:eastAsia="hr-HR"/>
        </w:rPr>
        <w:t>PROGRAM – ERASMUS +</w:t>
      </w:r>
    </w:p>
    <w:p w:rsidR="00302E80" w:rsidRDefault="00DA335D" w:rsidP="00302E80">
      <w:pPr>
        <w:pStyle w:val="StandardWeb"/>
        <w:numPr>
          <w:ilvl w:val="0"/>
          <w:numId w:val="12"/>
        </w:numPr>
        <w:spacing w:after="0" w:afterAutospacing="0" w:line="360" w:lineRule="auto"/>
        <w:jc w:val="both"/>
        <w:rPr>
          <w:rFonts w:eastAsia="Calibri"/>
          <w:b/>
          <w:u w:val="single"/>
        </w:rPr>
      </w:pPr>
      <w:r w:rsidRPr="00CC4715">
        <w:rPr>
          <w:rFonts w:eastAsia="Calibri"/>
          <w:b/>
          <w:u w:val="single"/>
        </w:rPr>
        <w:t xml:space="preserve">Opis i cilj programa       </w:t>
      </w:r>
    </w:p>
    <w:p w:rsidR="00FF4A0F" w:rsidRPr="00302E80" w:rsidRDefault="00DA335D" w:rsidP="00302E80">
      <w:pPr>
        <w:pStyle w:val="StandardWeb"/>
        <w:spacing w:after="0" w:afterAutospacing="0" w:line="360" w:lineRule="auto"/>
        <w:jc w:val="both"/>
        <w:rPr>
          <w:rFonts w:eastAsia="Calibri"/>
          <w:b/>
          <w:u w:val="single"/>
        </w:rPr>
      </w:pPr>
      <w:r w:rsidRPr="00302E80">
        <w:rPr>
          <w:rFonts w:eastAsia="Calibri"/>
          <w:b/>
          <w:u w:val="single"/>
        </w:rPr>
        <w:t xml:space="preserve">                                                                                                                                            </w:t>
      </w:r>
      <w:bookmarkStart w:id="4" w:name="_Hlk77185577"/>
      <w:r w:rsidR="00D05857" w:rsidRPr="00302E80">
        <w:rPr>
          <w:rFonts w:eastAsia="Calibri"/>
          <w:b/>
          <w:u w:val="single"/>
        </w:rPr>
        <w:t xml:space="preserve">                              </w:t>
      </w:r>
      <w:proofErr w:type="spellStart"/>
      <w:r w:rsidR="00FF4A0F" w:rsidRPr="00302E80">
        <w:rPr>
          <w:b/>
          <w:bCs/>
        </w:rPr>
        <w:t>Erasmus</w:t>
      </w:r>
      <w:proofErr w:type="spellEnd"/>
      <w:r w:rsidR="00FF4A0F" w:rsidRPr="00302E80">
        <w:rPr>
          <w:b/>
          <w:bCs/>
        </w:rPr>
        <w:t>+</w:t>
      </w:r>
      <w:r w:rsidR="00FF4A0F" w:rsidRPr="00CC4715">
        <w:t xml:space="preserve"> je program Europske unije za obrazovanje, osposobljavanje, mlade i sport. Cilj programa je poboljšati kvalitetu obrazovanja, jačati kompetencije sudionika, poticati mobilnost i međunarodnu suradnju te razvijati inovativne pristupe učenju i poučavanju. Škola je nositelj </w:t>
      </w:r>
      <w:proofErr w:type="spellStart"/>
      <w:r w:rsidR="00FF4A0F" w:rsidRPr="00CC4715">
        <w:t>Erasmus</w:t>
      </w:r>
      <w:proofErr w:type="spellEnd"/>
      <w:r w:rsidR="00FF4A0F" w:rsidRPr="00CC4715">
        <w:t xml:space="preserve">+ KA1 projekta </w:t>
      </w:r>
      <w:r w:rsidR="00FF4A0F" w:rsidRPr="00302E80">
        <w:rPr>
          <w:bCs/>
        </w:rPr>
        <w:t>C.A.R.E</w:t>
      </w:r>
      <w:r w:rsidR="00FF4A0F" w:rsidRPr="00302E80">
        <w:rPr>
          <w:b/>
          <w:bCs/>
        </w:rPr>
        <w:t>.</w:t>
      </w:r>
      <w:r w:rsidR="00FF4A0F" w:rsidRPr="00CC4715">
        <w:t xml:space="preserve">, koji se provodi u razdoblju od </w:t>
      </w:r>
      <w:r w:rsidR="00FF4A0F" w:rsidRPr="00302E80">
        <w:rPr>
          <w:bCs/>
        </w:rPr>
        <w:t>1. rujna 2020. do 31. kolovoza 2022. godine</w:t>
      </w:r>
      <w:r w:rsidR="00FF4A0F" w:rsidRPr="00CC4715">
        <w:t xml:space="preserve">. </w:t>
      </w:r>
      <w:r w:rsidR="00FF4A0F" w:rsidRPr="00302E80">
        <w:rPr>
          <w:bCs/>
        </w:rPr>
        <w:t>Ključna aktivnost 1 (KA1)</w:t>
      </w:r>
      <w:r w:rsidR="00FF4A0F" w:rsidRPr="00CC4715">
        <w:t xml:space="preserve"> u okviru programa </w:t>
      </w:r>
      <w:proofErr w:type="spellStart"/>
      <w:r w:rsidR="00FF4A0F" w:rsidRPr="00CC4715">
        <w:t>Erasmus</w:t>
      </w:r>
      <w:proofErr w:type="spellEnd"/>
      <w:r w:rsidR="00FF4A0F" w:rsidRPr="00CC4715">
        <w:t xml:space="preserve">+ odnosi se na </w:t>
      </w:r>
      <w:r w:rsidR="00FF4A0F" w:rsidRPr="00302E80">
        <w:rPr>
          <w:bCs/>
        </w:rPr>
        <w:t>mobilnost u svrhu učenja za pojedince</w:t>
      </w:r>
      <w:r w:rsidR="00FF4A0F" w:rsidRPr="00CC4715">
        <w:t xml:space="preserve"> – učenike, nastavnike i drugo školsko osoblje. Kroz sudjelovanje </w:t>
      </w:r>
      <w:r w:rsidR="00FF4A0F" w:rsidRPr="00CC4715">
        <w:lastRenderedPageBreak/>
        <w:t>u ovoj aktivnosti omogućeno je stručno usavršavanje kroz edukacije, promatranje rada te poučavanje u inozemnim obrazovnim ustanovama.</w:t>
      </w:r>
    </w:p>
    <w:p w:rsidR="00FF4A0F" w:rsidRPr="00CC4715" w:rsidRDefault="00FF4A0F" w:rsidP="00DB5E1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Glavni ciljevi sudjelovanja u KA1 mobilnosti su:</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unaprjeđenje profesionalnih kompetencija nastavnog i stručnog kadra,</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primjena novih znanja, metoda i pristupa u svakodnevnom radu škole,</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povezivanje s europskim obrazovnim institucijama i razmjena dobre prakse,</w:t>
      </w:r>
    </w:p>
    <w:p w:rsidR="00FF4A0F" w:rsidRPr="00CC4715" w:rsidRDefault="00FF4A0F" w:rsidP="00DB5E1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podizanje kvalitete nastave i ukupnog učeničkog iskustva.</w:t>
      </w:r>
    </w:p>
    <w:p w:rsidR="00FF4A0F" w:rsidRPr="00CC4715" w:rsidRDefault="00FF4A0F" w:rsidP="00DB5E1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CC4715">
        <w:rPr>
          <w:rFonts w:ascii="Times New Roman" w:eastAsia="Times New Roman" w:hAnsi="Times New Roman" w:cs="Times New Roman"/>
          <w:sz w:val="24"/>
          <w:szCs w:val="24"/>
          <w:lang w:eastAsia="hr-HR"/>
        </w:rPr>
        <w:t xml:space="preserve">Opći cilj projekta je </w:t>
      </w:r>
      <w:r w:rsidRPr="00CC4715">
        <w:rPr>
          <w:rFonts w:ascii="Times New Roman" w:eastAsia="Times New Roman" w:hAnsi="Times New Roman" w:cs="Times New Roman"/>
          <w:bCs/>
          <w:sz w:val="24"/>
          <w:szCs w:val="24"/>
          <w:lang w:eastAsia="hr-HR"/>
        </w:rPr>
        <w:t>unaprijediti kvalitetu odgoja, poučavanja i učenja</w:t>
      </w:r>
      <w:r w:rsidRPr="00CC4715">
        <w:rPr>
          <w:rFonts w:ascii="Times New Roman" w:eastAsia="Times New Roman" w:hAnsi="Times New Roman" w:cs="Times New Roman"/>
          <w:sz w:val="24"/>
          <w:szCs w:val="24"/>
          <w:lang w:eastAsia="hr-HR"/>
        </w:rPr>
        <w:t xml:space="preserve"> na svim razinama obrazovanja – od predškolskog do srednjoškolskog – kroz mobilnosti i međunarodnu suradnju s obrazovnim ustanovama diljem Europe.</w:t>
      </w:r>
    </w:p>
    <w:p w:rsidR="004732F5" w:rsidRDefault="00DA335D" w:rsidP="00B36F7C">
      <w:pPr>
        <w:pStyle w:val="Odlomakpopisa"/>
        <w:numPr>
          <w:ilvl w:val="0"/>
          <w:numId w:val="12"/>
        </w:numPr>
        <w:spacing w:after="0"/>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u w:val="single"/>
        </w:rPr>
        <w:t>Realizirana sredstva</w:t>
      </w:r>
      <w:r w:rsidRPr="008B13EE">
        <w:rPr>
          <w:rFonts w:ascii="Times New Roman" w:eastAsia="Calibri" w:hAnsi="Times New Roman" w:cs="Times New Roman"/>
          <w:sz w:val="24"/>
          <w:szCs w:val="24"/>
        </w:rPr>
        <w:t xml:space="preserve">:        </w:t>
      </w:r>
    </w:p>
    <w:p w:rsidR="00DA335D" w:rsidRPr="00B36F7C" w:rsidRDefault="00DA335D" w:rsidP="00B36F7C">
      <w:pPr>
        <w:pStyle w:val="StandardWeb"/>
        <w:spacing w:line="276" w:lineRule="auto"/>
      </w:pPr>
      <w:r w:rsidRPr="004732F5">
        <w:rPr>
          <w:rFonts w:eastAsia="Calibri"/>
          <w:sz w:val="28"/>
        </w:rPr>
        <w:t xml:space="preserve">                                                                                                                                   </w:t>
      </w:r>
      <w:r w:rsidR="00EE2663">
        <w:rPr>
          <w:rFonts w:eastAsia="Calibri"/>
          <w:sz w:val="28"/>
        </w:rPr>
        <w:t xml:space="preserve">                      </w:t>
      </w:r>
      <w:r w:rsidR="00B36F7C" w:rsidRPr="00B36F7C">
        <w:t xml:space="preserve">U 2026. godini nisu utrošena sredstva projekta </w:t>
      </w:r>
      <w:proofErr w:type="spellStart"/>
      <w:r w:rsidR="00B36F7C" w:rsidRPr="00B36F7C">
        <w:t>Erasmus</w:t>
      </w:r>
      <w:proofErr w:type="spellEnd"/>
      <w:r w:rsidR="00B36F7C" w:rsidRPr="00B36F7C">
        <w:t>+ KA1 C.A.R.E., odnosno ostvareni rashodi po navedenom projektu iznose 0,00 eura.</w:t>
      </w:r>
    </w:p>
    <w:bookmarkEnd w:id="4"/>
    <w:p w:rsidR="00D05857" w:rsidRPr="00CC4715" w:rsidRDefault="00D05857" w:rsidP="00D05857">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217"/>
        <w:gridCol w:w="1003"/>
        <w:gridCol w:w="1389"/>
        <w:gridCol w:w="1217"/>
        <w:gridCol w:w="1348"/>
      </w:tblGrid>
      <w:tr w:rsidR="00D05857" w:rsidRPr="00CC4715" w:rsidTr="00201A8F">
        <w:trPr>
          <w:trHeight w:val="805"/>
        </w:trPr>
        <w:tc>
          <w:tcPr>
            <w:tcW w:w="1752"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Pokazatelj rezultata</w:t>
            </w:r>
          </w:p>
        </w:tc>
        <w:tc>
          <w:tcPr>
            <w:tcW w:w="2217"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Definicija pokazatelja</w:t>
            </w:r>
          </w:p>
        </w:tc>
        <w:tc>
          <w:tcPr>
            <w:tcW w:w="1003"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Jedinica</w:t>
            </w:r>
          </w:p>
        </w:tc>
        <w:tc>
          <w:tcPr>
            <w:tcW w:w="1389"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Polazna vrijednost </w:t>
            </w:r>
            <w:r w:rsidR="007275EA">
              <w:rPr>
                <w:rFonts w:ascii="Times New Roman" w:eastAsia="Calibri" w:hAnsi="Times New Roman" w:cs="Times New Roman"/>
                <w:b/>
                <w:bCs/>
              </w:rPr>
              <w:t>2025</w:t>
            </w:r>
            <w:r w:rsidRPr="00CC4715">
              <w:rPr>
                <w:rFonts w:ascii="Times New Roman" w:eastAsia="Calibri" w:hAnsi="Times New Roman" w:cs="Times New Roman"/>
                <w:b/>
                <w:bCs/>
              </w:rPr>
              <w:t>.</w:t>
            </w:r>
          </w:p>
        </w:tc>
        <w:tc>
          <w:tcPr>
            <w:tcW w:w="1217" w:type="dxa"/>
            <w:tcBorders>
              <w:bottom w:val="single" w:sz="4" w:space="0" w:color="auto"/>
            </w:tcBorders>
            <w:shd w:val="clear" w:color="auto" w:fill="auto"/>
          </w:tcPr>
          <w:p w:rsidR="00D05857" w:rsidRPr="00CC4715" w:rsidRDefault="007275EA" w:rsidP="00201A8F">
            <w:pPr>
              <w:spacing w:after="0"/>
              <w:jc w:val="center"/>
              <w:rPr>
                <w:rFonts w:ascii="Times New Roman" w:eastAsia="Calibri" w:hAnsi="Times New Roman" w:cs="Times New Roman"/>
                <w:b/>
                <w:bCs/>
              </w:rPr>
            </w:pPr>
            <w:r>
              <w:rPr>
                <w:rFonts w:ascii="Times New Roman" w:eastAsia="Calibri" w:hAnsi="Times New Roman" w:cs="Times New Roman"/>
                <w:b/>
                <w:bCs/>
              </w:rPr>
              <w:t>Ciljana vrijednost 2026</w:t>
            </w:r>
            <w:r w:rsidR="00D05857" w:rsidRPr="00CC4715">
              <w:rPr>
                <w:rFonts w:ascii="Times New Roman" w:eastAsia="Calibri" w:hAnsi="Times New Roman" w:cs="Times New Roman"/>
                <w:b/>
                <w:bCs/>
              </w:rPr>
              <w:t>.</w:t>
            </w:r>
          </w:p>
        </w:tc>
        <w:tc>
          <w:tcPr>
            <w:tcW w:w="1348"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b/>
                <w:bCs/>
              </w:rPr>
            </w:pPr>
            <w:r w:rsidRPr="00CC4715">
              <w:rPr>
                <w:rFonts w:ascii="Times New Roman" w:eastAsia="Calibri" w:hAnsi="Times New Roman" w:cs="Times New Roman"/>
                <w:b/>
                <w:bCs/>
              </w:rPr>
              <w:t>Ostvarena vrijednost I-</w:t>
            </w:r>
            <w:r w:rsidR="007275EA">
              <w:rPr>
                <w:rFonts w:ascii="Times New Roman" w:eastAsia="Calibri" w:hAnsi="Times New Roman" w:cs="Times New Roman"/>
                <w:b/>
                <w:bCs/>
              </w:rPr>
              <w:t>VI 2026</w:t>
            </w:r>
            <w:r>
              <w:rPr>
                <w:rFonts w:ascii="Times New Roman" w:eastAsia="Calibri" w:hAnsi="Times New Roman" w:cs="Times New Roman"/>
                <w:b/>
                <w:bCs/>
              </w:rPr>
              <w:t>.</w:t>
            </w:r>
          </w:p>
        </w:tc>
      </w:tr>
      <w:tr w:rsidR="00D05857" w:rsidRPr="00CC4715" w:rsidTr="00201A8F">
        <w:trPr>
          <w:trHeight w:val="805"/>
        </w:trPr>
        <w:tc>
          <w:tcPr>
            <w:tcW w:w="1752" w:type="dxa"/>
            <w:tcBorders>
              <w:bottom w:val="single" w:sz="4" w:space="0" w:color="auto"/>
            </w:tcBorders>
            <w:shd w:val="clear" w:color="auto" w:fill="auto"/>
          </w:tcPr>
          <w:p w:rsidR="00D05857" w:rsidRPr="004732F5" w:rsidRDefault="00D05857" w:rsidP="00201A8F">
            <w:pPr>
              <w:spacing w:after="0"/>
              <w:rPr>
                <w:rFonts w:ascii="Times New Roman" w:eastAsia="Calibri" w:hAnsi="Times New Roman" w:cs="Times New Roman"/>
              </w:rPr>
            </w:pPr>
            <w:r w:rsidRPr="004732F5">
              <w:rPr>
                <w:rFonts w:ascii="Times New Roman" w:hAnsi="Times New Roman" w:cs="Times New Roman"/>
              </w:rPr>
              <w:t>Ostvarivanje ciljeva projekta definiranih projektnim prijedlogom u odgojno-obrazovnom procesu</w:t>
            </w:r>
          </w:p>
        </w:tc>
        <w:tc>
          <w:tcPr>
            <w:tcW w:w="2217" w:type="dxa"/>
            <w:tcBorders>
              <w:bottom w:val="single" w:sz="4" w:space="0" w:color="auto"/>
            </w:tcBorders>
            <w:shd w:val="clear" w:color="auto" w:fill="auto"/>
          </w:tcPr>
          <w:p w:rsidR="00D05857" w:rsidRPr="00751B6D" w:rsidRDefault="00751B6D" w:rsidP="00751B6D">
            <w:pPr>
              <w:spacing w:after="0"/>
              <w:rPr>
                <w:rFonts w:ascii="Times New Roman" w:eastAsia="Calibri" w:hAnsi="Times New Roman" w:cs="Times New Roman"/>
              </w:rPr>
            </w:pPr>
            <w:r w:rsidRPr="00751B6D">
              <w:rPr>
                <w:rFonts w:ascii="Times New Roman" w:hAnsi="Times New Roman" w:cs="Times New Roman"/>
              </w:rPr>
              <w:t>Sudjelovanje na edukacijama u svrhu usavršavanja i provođenja popratnih aktivnosti, namjensko korištenje preostalih sredstava za unapređenje uvjeta rada i primjenu nabavljene opreme u nastavi</w:t>
            </w:r>
          </w:p>
        </w:tc>
        <w:tc>
          <w:tcPr>
            <w:tcW w:w="1003" w:type="dxa"/>
            <w:tcBorders>
              <w:bottom w:val="single" w:sz="4" w:space="0" w:color="auto"/>
            </w:tcBorders>
            <w:shd w:val="clear" w:color="auto" w:fill="auto"/>
          </w:tcPr>
          <w:p w:rsidR="00D05857" w:rsidRPr="00D05857" w:rsidRDefault="00D05857" w:rsidP="00201A8F">
            <w:pPr>
              <w:spacing w:after="0"/>
              <w:rPr>
                <w:rFonts w:ascii="Times New Roman" w:eastAsia="Calibri" w:hAnsi="Times New Roman" w:cs="Times New Roman"/>
              </w:rPr>
            </w:pPr>
          </w:p>
          <w:p w:rsidR="00D05857" w:rsidRPr="00D05857" w:rsidRDefault="00D05857" w:rsidP="00201A8F">
            <w:pPr>
              <w:spacing w:after="0"/>
              <w:rPr>
                <w:rFonts w:ascii="Times New Roman" w:eastAsia="Calibri" w:hAnsi="Times New Roman" w:cs="Times New Roman"/>
              </w:rPr>
            </w:pPr>
          </w:p>
          <w:p w:rsidR="00D05857" w:rsidRPr="00D05857" w:rsidRDefault="00D05857" w:rsidP="00201A8F">
            <w:pPr>
              <w:spacing w:after="0"/>
              <w:rPr>
                <w:rFonts w:ascii="Times New Roman" w:eastAsia="Calibri" w:hAnsi="Times New Roman" w:cs="Times New Roman"/>
              </w:rPr>
            </w:pPr>
            <w:r w:rsidRPr="00D05857">
              <w:rPr>
                <w:rFonts w:ascii="Times New Roman" w:eastAsia="Calibri" w:hAnsi="Times New Roman" w:cs="Times New Roman"/>
              </w:rPr>
              <w:t>Postotak</w:t>
            </w:r>
          </w:p>
        </w:tc>
        <w:tc>
          <w:tcPr>
            <w:tcW w:w="1389" w:type="dxa"/>
            <w:tcBorders>
              <w:bottom w:val="single" w:sz="4" w:space="0" w:color="auto"/>
            </w:tcBorders>
            <w:shd w:val="clear" w:color="auto" w:fill="auto"/>
          </w:tcPr>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p>
          <w:p w:rsidR="00D05857" w:rsidRPr="00D05857" w:rsidRDefault="00751B6D" w:rsidP="00201A8F">
            <w:pPr>
              <w:spacing w:after="0"/>
              <w:jc w:val="center"/>
              <w:rPr>
                <w:rFonts w:ascii="Times New Roman" w:eastAsia="Calibri" w:hAnsi="Times New Roman" w:cs="Times New Roman"/>
              </w:rPr>
            </w:pPr>
            <w:r>
              <w:rPr>
                <w:rFonts w:ascii="Times New Roman" w:eastAsia="Calibri" w:hAnsi="Times New Roman" w:cs="Times New Roman"/>
              </w:rPr>
              <w:t>10</w:t>
            </w:r>
            <w:r w:rsidR="00D05857" w:rsidRPr="00D05857">
              <w:rPr>
                <w:rFonts w:ascii="Times New Roman" w:eastAsia="Calibri" w:hAnsi="Times New Roman" w:cs="Times New Roman"/>
              </w:rPr>
              <w:t>0</w:t>
            </w:r>
            <w:r>
              <w:rPr>
                <w:rFonts w:ascii="Times New Roman" w:eastAsia="Calibri" w:hAnsi="Times New Roman" w:cs="Times New Roman"/>
              </w:rPr>
              <w:t>%</w:t>
            </w:r>
          </w:p>
        </w:tc>
        <w:tc>
          <w:tcPr>
            <w:tcW w:w="1217" w:type="dxa"/>
            <w:tcBorders>
              <w:bottom w:val="single" w:sz="4" w:space="0" w:color="auto"/>
            </w:tcBorders>
            <w:shd w:val="clear" w:color="auto" w:fill="auto"/>
          </w:tcPr>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p>
          <w:p w:rsidR="00D05857" w:rsidRPr="00D05857" w:rsidRDefault="00D05857" w:rsidP="00201A8F">
            <w:pPr>
              <w:spacing w:after="0"/>
              <w:jc w:val="center"/>
              <w:rPr>
                <w:rFonts w:ascii="Times New Roman" w:eastAsia="Calibri" w:hAnsi="Times New Roman" w:cs="Times New Roman"/>
              </w:rPr>
            </w:pPr>
            <w:r w:rsidRPr="00D05857">
              <w:rPr>
                <w:rFonts w:ascii="Times New Roman" w:eastAsia="Calibri" w:hAnsi="Times New Roman" w:cs="Times New Roman"/>
              </w:rPr>
              <w:t>100 %</w:t>
            </w:r>
          </w:p>
        </w:tc>
        <w:tc>
          <w:tcPr>
            <w:tcW w:w="1348" w:type="dxa"/>
            <w:tcBorders>
              <w:bottom w:val="single" w:sz="4" w:space="0" w:color="auto"/>
            </w:tcBorders>
            <w:shd w:val="clear" w:color="auto" w:fill="auto"/>
          </w:tcPr>
          <w:p w:rsidR="00D05857" w:rsidRPr="00CC4715" w:rsidRDefault="00D05857" w:rsidP="00201A8F">
            <w:pPr>
              <w:spacing w:after="0"/>
              <w:jc w:val="center"/>
              <w:rPr>
                <w:rFonts w:ascii="Times New Roman" w:eastAsia="Calibri" w:hAnsi="Times New Roman" w:cs="Times New Roman"/>
              </w:rPr>
            </w:pPr>
          </w:p>
          <w:p w:rsidR="00D05857" w:rsidRPr="00CC4715" w:rsidRDefault="00D05857" w:rsidP="00201A8F">
            <w:pPr>
              <w:spacing w:after="0"/>
              <w:jc w:val="center"/>
              <w:rPr>
                <w:rFonts w:ascii="Times New Roman" w:eastAsia="Calibri" w:hAnsi="Times New Roman" w:cs="Times New Roman"/>
              </w:rPr>
            </w:pPr>
          </w:p>
          <w:p w:rsidR="00D05857" w:rsidRPr="00CC4715" w:rsidRDefault="007275EA" w:rsidP="00201A8F">
            <w:pPr>
              <w:spacing w:after="0"/>
              <w:jc w:val="center"/>
              <w:rPr>
                <w:rFonts w:ascii="Times New Roman" w:eastAsia="Calibri" w:hAnsi="Times New Roman" w:cs="Times New Roman"/>
              </w:rPr>
            </w:pPr>
            <w:r>
              <w:rPr>
                <w:rFonts w:ascii="Times New Roman" w:eastAsia="Calibri" w:hAnsi="Times New Roman" w:cs="Times New Roman"/>
              </w:rPr>
              <w:t>0,00</w:t>
            </w:r>
            <w:r w:rsidR="00D05857">
              <w:rPr>
                <w:rFonts w:ascii="Times New Roman" w:eastAsia="Calibri" w:hAnsi="Times New Roman" w:cs="Times New Roman"/>
              </w:rPr>
              <w:t xml:space="preserve"> %</w:t>
            </w:r>
          </w:p>
        </w:tc>
      </w:tr>
    </w:tbl>
    <w:p w:rsidR="00DA335D" w:rsidRPr="00CC4715" w:rsidRDefault="00DA335D" w:rsidP="00DB5E11">
      <w:pPr>
        <w:autoSpaceDE w:val="0"/>
        <w:autoSpaceDN w:val="0"/>
        <w:adjustRightInd w:val="0"/>
        <w:spacing w:line="360" w:lineRule="auto"/>
        <w:jc w:val="both"/>
        <w:rPr>
          <w:rFonts w:ascii="Times New Roman" w:eastAsia="Calibri" w:hAnsi="Times New Roman" w:cs="Times New Roman"/>
          <w:sz w:val="24"/>
          <w:szCs w:val="24"/>
          <w:shd w:val="clear" w:color="auto" w:fill="FFFFFF"/>
        </w:rPr>
      </w:pPr>
    </w:p>
    <w:p w:rsidR="004644D8" w:rsidRDefault="004644D8" w:rsidP="00DB5E11">
      <w:pPr>
        <w:autoSpaceDE w:val="0"/>
        <w:autoSpaceDN w:val="0"/>
        <w:adjustRightInd w:val="0"/>
        <w:spacing w:line="360" w:lineRule="auto"/>
        <w:jc w:val="both"/>
        <w:rPr>
          <w:rFonts w:ascii="Times New Roman" w:eastAsia="Calibri" w:hAnsi="Times New Roman" w:cs="Times New Roman"/>
          <w:b/>
          <w:bCs/>
          <w:sz w:val="24"/>
          <w:szCs w:val="24"/>
          <w:u w:val="single"/>
        </w:rPr>
      </w:pPr>
    </w:p>
    <w:p w:rsidR="004644D8" w:rsidRDefault="004644D8" w:rsidP="00DB5E11">
      <w:pPr>
        <w:autoSpaceDE w:val="0"/>
        <w:autoSpaceDN w:val="0"/>
        <w:adjustRightInd w:val="0"/>
        <w:spacing w:line="360" w:lineRule="auto"/>
        <w:jc w:val="both"/>
        <w:rPr>
          <w:rFonts w:ascii="Times New Roman" w:eastAsia="Calibri" w:hAnsi="Times New Roman" w:cs="Times New Roman"/>
          <w:b/>
          <w:bCs/>
          <w:sz w:val="24"/>
          <w:szCs w:val="24"/>
          <w:u w:val="single"/>
        </w:rPr>
      </w:pPr>
    </w:p>
    <w:p w:rsidR="004644D8" w:rsidRDefault="004644D8" w:rsidP="00DB5E11">
      <w:pPr>
        <w:autoSpaceDE w:val="0"/>
        <w:autoSpaceDN w:val="0"/>
        <w:adjustRightInd w:val="0"/>
        <w:spacing w:line="360" w:lineRule="auto"/>
        <w:jc w:val="both"/>
        <w:rPr>
          <w:rFonts w:ascii="Times New Roman" w:eastAsia="Calibri" w:hAnsi="Times New Roman" w:cs="Times New Roman"/>
          <w:b/>
          <w:bCs/>
          <w:sz w:val="24"/>
          <w:szCs w:val="24"/>
          <w:u w:val="single"/>
        </w:rPr>
      </w:pPr>
    </w:p>
    <w:p w:rsidR="00DA335D" w:rsidRPr="001E0E79" w:rsidRDefault="003E1635" w:rsidP="00DB5E11">
      <w:pPr>
        <w:autoSpaceDE w:val="0"/>
        <w:autoSpaceDN w:val="0"/>
        <w:adjustRightInd w:val="0"/>
        <w:spacing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2</w:t>
      </w:r>
      <w:r w:rsidR="007275EA">
        <w:rPr>
          <w:rFonts w:ascii="Times New Roman" w:eastAsia="Calibri" w:hAnsi="Times New Roman" w:cs="Times New Roman"/>
          <w:b/>
          <w:bCs/>
          <w:sz w:val="24"/>
          <w:szCs w:val="24"/>
          <w:u w:val="single"/>
        </w:rPr>
        <w:t>.2</w:t>
      </w:r>
      <w:r w:rsidR="001E0E79">
        <w:rPr>
          <w:rFonts w:ascii="Times New Roman" w:eastAsia="Calibri" w:hAnsi="Times New Roman" w:cs="Times New Roman"/>
          <w:b/>
          <w:bCs/>
          <w:sz w:val="24"/>
          <w:szCs w:val="24"/>
          <w:u w:val="single"/>
        </w:rPr>
        <w:t xml:space="preserve">. </w:t>
      </w:r>
      <w:r w:rsidR="00DA335D" w:rsidRPr="001E0E79">
        <w:rPr>
          <w:rFonts w:ascii="Times New Roman" w:eastAsia="Calibri" w:hAnsi="Times New Roman" w:cs="Times New Roman"/>
          <w:b/>
          <w:bCs/>
          <w:sz w:val="24"/>
          <w:szCs w:val="24"/>
          <w:u w:val="single"/>
        </w:rPr>
        <w:t>PROGRAM – OSNOVNO ŠKOLSTVO</w:t>
      </w:r>
    </w:p>
    <w:p w:rsidR="00FF4A0F" w:rsidRPr="008B13EE" w:rsidRDefault="00DA335D" w:rsidP="00DB5E11">
      <w:pPr>
        <w:pStyle w:val="Odlomakpopisa"/>
        <w:numPr>
          <w:ilvl w:val="0"/>
          <w:numId w:val="12"/>
        </w:numPr>
        <w:autoSpaceDE w:val="0"/>
        <w:autoSpaceDN w:val="0"/>
        <w:adjustRightInd w:val="0"/>
        <w:spacing w:after="0" w:line="360" w:lineRule="auto"/>
        <w:jc w:val="both"/>
        <w:rPr>
          <w:rFonts w:ascii="Times New Roman" w:eastAsia="Calibri" w:hAnsi="Times New Roman" w:cs="Times New Roman"/>
          <w:b/>
          <w:sz w:val="24"/>
          <w:szCs w:val="24"/>
          <w:u w:val="single"/>
        </w:rPr>
      </w:pPr>
      <w:r w:rsidRPr="008B13EE">
        <w:rPr>
          <w:rFonts w:ascii="Times New Roman" w:eastAsia="Calibri" w:hAnsi="Times New Roman" w:cs="Times New Roman"/>
          <w:b/>
          <w:sz w:val="24"/>
          <w:szCs w:val="24"/>
          <w:u w:val="single"/>
        </w:rPr>
        <w:t xml:space="preserve">Opis i cilj programa             </w:t>
      </w:r>
    </w:p>
    <w:p w:rsidR="00FF4A0F" w:rsidRPr="00CC4715" w:rsidRDefault="00DA335D" w:rsidP="00DB5E11">
      <w:pPr>
        <w:autoSpaceDE w:val="0"/>
        <w:autoSpaceDN w:val="0"/>
        <w:adjustRightInd w:val="0"/>
        <w:spacing w:after="0" w:line="360" w:lineRule="auto"/>
        <w:jc w:val="both"/>
        <w:rPr>
          <w:rFonts w:ascii="Times New Roman" w:eastAsia="Calibri" w:hAnsi="Times New Roman" w:cs="Times New Roman"/>
          <w:sz w:val="24"/>
          <w:szCs w:val="24"/>
        </w:rPr>
      </w:pPr>
      <w:r w:rsidRPr="00CC4715">
        <w:rPr>
          <w:rFonts w:ascii="Times New Roman" w:eastAsia="Calibri" w:hAnsi="Times New Roman" w:cs="Times New Roman"/>
          <w:b/>
          <w:sz w:val="24"/>
          <w:szCs w:val="24"/>
          <w:u w:val="single"/>
        </w:rPr>
        <w:t xml:space="preserve">                                                                                                                                                                                     </w:t>
      </w:r>
      <w:r w:rsidRPr="00CC4715">
        <w:rPr>
          <w:rFonts w:ascii="Times New Roman" w:eastAsia="Calibri" w:hAnsi="Times New Roman" w:cs="Times New Roman"/>
          <w:sz w:val="24"/>
          <w:szCs w:val="24"/>
        </w:rPr>
        <w:t xml:space="preserve">Ovim Programom obuhvaćene su sve aktivnosti koje osnovna škola provodi tijekom godine. Cilj Programa je ostvarivanje odgojno obrazovnih sadržaja, oblika i metoda rada te zadovoljavanje različitih potreba i interesa učenika. </w:t>
      </w:r>
      <w:r w:rsidR="00FF4A0F" w:rsidRPr="00CC4715">
        <w:rPr>
          <w:rFonts w:ascii="Times New Roman" w:eastAsia="Times New Roman" w:hAnsi="Times New Roman" w:cs="Times New Roman"/>
          <w:bCs/>
          <w:sz w:val="24"/>
          <w:szCs w:val="24"/>
          <w:lang w:eastAsia="hr-HR"/>
        </w:rPr>
        <w:t>Cilj programa osnovnog školstva je</w:t>
      </w:r>
      <w:r w:rsidR="00FF4A0F" w:rsidRPr="00CC4715">
        <w:rPr>
          <w:rFonts w:ascii="Times New Roman" w:eastAsia="Times New Roman" w:hAnsi="Times New Roman" w:cs="Times New Roman"/>
          <w:b/>
          <w:bCs/>
          <w:sz w:val="24"/>
          <w:szCs w:val="24"/>
          <w:lang w:eastAsia="hr-HR"/>
        </w:rPr>
        <w:t xml:space="preserve"> </w:t>
      </w:r>
      <w:r w:rsidR="00FF4A0F" w:rsidRPr="00CC4715">
        <w:rPr>
          <w:rFonts w:ascii="Times New Roman" w:eastAsia="Times New Roman" w:hAnsi="Times New Roman" w:cs="Times New Roman"/>
          <w:sz w:val="24"/>
          <w:szCs w:val="24"/>
          <w:lang w:eastAsia="hr-HR"/>
        </w:rPr>
        <w:t xml:space="preserve">pružiti </w:t>
      </w:r>
      <w:r w:rsidR="00FF4A0F" w:rsidRPr="00CC4715">
        <w:rPr>
          <w:rFonts w:ascii="Times New Roman" w:eastAsia="Times New Roman" w:hAnsi="Times New Roman" w:cs="Times New Roman"/>
          <w:bCs/>
          <w:sz w:val="24"/>
          <w:szCs w:val="24"/>
          <w:lang w:eastAsia="hr-HR"/>
        </w:rPr>
        <w:t>temeljna znanja, vještine i stavove</w:t>
      </w:r>
      <w:r w:rsidR="00FF4A0F" w:rsidRPr="00CC4715">
        <w:rPr>
          <w:rFonts w:ascii="Times New Roman" w:eastAsia="Times New Roman" w:hAnsi="Times New Roman" w:cs="Times New Roman"/>
          <w:sz w:val="24"/>
          <w:szCs w:val="24"/>
          <w:lang w:eastAsia="hr-HR"/>
        </w:rPr>
        <w:t xml:space="preserve"> potrebne za nastavak obrazovanja i život u suvremenom društvu, razvijati </w:t>
      </w:r>
      <w:r w:rsidR="00FF4A0F" w:rsidRPr="00CC4715">
        <w:rPr>
          <w:rFonts w:ascii="Times New Roman" w:eastAsia="Times New Roman" w:hAnsi="Times New Roman" w:cs="Times New Roman"/>
          <w:bCs/>
          <w:sz w:val="24"/>
          <w:szCs w:val="24"/>
          <w:lang w:eastAsia="hr-HR"/>
        </w:rPr>
        <w:t>odgovornost, toleranciju, kreativnost, kritičko mišljenje i aktivno građanstvo</w:t>
      </w:r>
      <w:r w:rsidR="00FF4A0F" w:rsidRPr="00CC4715">
        <w:rPr>
          <w:rFonts w:ascii="Times New Roman" w:eastAsia="Times New Roman" w:hAnsi="Times New Roman" w:cs="Times New Roman"/>
          <w:sz w:val="24"/>
          <w:szCs w:val="24"/>
          <w:lang w:eastAsia="hr-HR"/>
        </w:rPr>
        <w:t xml:space="preserve">, osigurati </w:t>
      </w:r>
      <w:r w:rsidR="00FF4A0F" w:rsidRPr="00CC4715">
        <w:rPr>
          <w:rFonts w:ascii="Times New Roman" w:eastAsia="Times New Roman" w:hAnsi="Times New Roman" w:cs="Times New Roman"/>
          <w:bCs/>
          <w:sz w:val="24"/>
          <w:szCs w:val="24"/>
          <w:lang w:eastAsia="hr-HR"/>
        </w:rPr>
        <w:t>jednaku dostupnost obrazovanja</w:t>
      </w:r>
      <w:r w:rsidR="00FF4A0F" w:rsidRPr="00CC4715">
        <w:rPr>
          <w:rFonts w:ascii="Times New Roman" w:eastAsia="Times New Roman" w:hAnsi="Times New Roman" w:cs="Times New Roman"/>
          <w:sz w:val="24"/>
          <w:szCs w:val="24"/>
          <w:lang w:eastAsia="hr-HR"/>
        </w:rPr>
        <w:t xml:space="preserve"> svim učenicima, neovisno o njihovim sposobnostima, spolu, porijeklu ili socijalnom statusu.</w:t>
      </w:r>
    </w:p>
    <w:p w:rsidR="00FF4A0F" w:rsidRPr="00CC4715" w:rsidRDefault="00FF4A0F" w:rsidP="00DB5E11">
      <w:pPr>
        <w:autoSpaceDE w:val="0"/>
        <w:autoSpaceDN w:val="0"/>
        <w:adjustRightInd w:val="0"/>
        <w:spacing w:line="360" w:lineRule="auto"/>
        <w:jc w:val="both"/>
        <w:rPr>
          <w:rFonts w:ascii="Times New Roman" w:eastAsia="Calibri" w:hAnsi="Times New Roman" w:cs="Times New Roman"/>
          <w:sz w:val="24"/>
          <w:szCs w:val="24"/>
        </w:rPr>
      </w:pPr>
    </w:p>
    <w:p w:rsidR="00C71DA7" w:rsidRPr="008B13EE" w:rsidRDefault="00DA335D" w:rsidP="00DB5E11">
      <w:pPr>
        <w:pStyle w:val="Odlomakpopisa"/>
        <w:numPr>
          <w:ilvl w:val="0"/>
          <w:numId w:val="12"/>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u w:val="single"/>
        </w:rPr>
        <w:t>Realizirana sredstva</w:t>
      </w:r>
      <w:r w:rsidRPr="008B13EE">
        <w:rPr>
          <w:rFonts w:ascii="Times New Roman" w:eastAsia="Calibri" w:hAnsi="Times New Roman" w:cs="Times New Roman"/>
          <w:sz w:val="24"/>
          <w:szCs w:val="24"/>
        </w:rPr>
        <w:t xml:space="preserve">:    </w:t>
      </w:r>
    </w:p>
    <w:p w:rsidR="00DA335D" w:rsidRPr="00CC4715" w:rsidRDefault="00DA335D" w:rsidP="00DB5E11">
      <w:pPr>
        <w:spacing w:line="360" w:lineRule="auto"/>
        <w:jc w:val="both"/>
        <w:rPr>
          <w:rFonts w:ascii="Times New Roman" w:eastAsia="Calibri" w:hAnsi="Times New Roman" w:cs="Times New Roman"/>
          <w:sz w:val="24"/>
          <w:szCs w:val="24"/>
        </w:rPr>
      </w:pPr>
      <w:r w:rsidRPr="00CC4715">
        <w:rPr>
          <w:rFonts w:ascii="Times New Roman" w:eastAsia="Calibri" w:hAnsi="Times New Roman" w:cs="Times New Roman"/>
          <w:sz w:val="24"/>
          <w:szCs w:val="24"/>
        </w:rPr>
        <w:t>Proračunom za 202</w:t>
      </w:r>
      <w:r w:rsidR="007275EA">
        <w:rPr>
          <w:rFonts w:ascii="Times New Roman" w:eastAsia="Calibri" w:hAnsi="Times New Roman" w:cs="Times New Roman"/>
          <w:sz w:val="24"/>
          <w:szCs w:val="24"/>
        </w:rPr>
        <w:t>6</w:t>
      </w:r>
      <w:r w:rsidRPr="00CC4715">
        <w:rPr>
          <w:rFonts w:ascii="Times New Roman" w:eastAsia="Calibri" w:hAnsi="Times New Roman" w:cs="Times New Roman"/>
          <w:sz w:val="24"/>
          <w:szCs w:val="24"/>
        </w:rPr>
        <w:t>. godinu za potrebe provođenja aktivnosti sadržanih u ovom Programu planirano je</w:t>
      </w:r>
      <w:r w:rsidR="008D6024" w:rsidRPr="00CC4715">
        <w:rPr>
          <w:rFonts w:ascii="Times New Roman" w:eastAsia="Calibri" w:hAnsi="Times New Roman" w:cs="Times New Roman"/>
          <w:sz w:val="24"/>
          <w:szCs w:val="24"/>
        </w:rPr>
        <w:t xml:space="preserve"> </w:t>
      </w:r>
      <w:r w:rsidR="007275EA">
        <w:rPr>
          <w:rFonts w:ascii="Times New Roman" w:eastAsia="Calibri" w:hAnsi="Times New Roman" w:cs="Times New Roman"/>
          <w:sz w:val="24"/>
          <w:szCs w:val="24"/>
        </w:rPr>
        <w:t>3.816.718</w:t>
      </w:r>
      <w:r w:rsidR="008C335F">
        <w:rPr>
          <w:rFonts w:ascii="Times New Roman" w:eastAsia="Calibri" w:hAnsi="Times New Roman" w:cs="Times New Roman"/>
          <w:sz w:val="24"/>
          <w:szCs w:val="24"/>
        </w:rPr>
        <w:t>,</w:t>
      </w:r>
      <w:r w:rsidR="00FF4A0F" w:rsidRPr="00CC4715">
        <w:rPr>
          <w:rFonts w:ascii="Times New Roman" w:eastAsia="Calibri" w:hAnsi="Times New Roman" w:cs="Times New Roman"/>
          <w:sz w:val="24"/>
          <w:szCs w:val="24"/>
        </w:rPr>
        <w:t>00</w:t>
      </w:r>
      <w:r w:rsidR="008D6024" w:rsidRPr="00CC4715">
        <w:rPr>
          <w:rFonts w:ascii="Times New Roman" w:eastAsia="Calibri" w:hAnsi="Times New Roman" w:cs="Times New Roman"/>
          <w:sz w:val="24"/>
          <w:szCs w:val="24"/>
        </w:rPr>
        <w:t xml:space="preserve"> eura</w:t>
      </w:r>
      <w:r w:rsidRPr="00CC4715">
        <w:rPr>
          <w:rFonts w:ascii="Times New Roman" w:eastAsia="Calibri" w:hAnsi="Times New Roman" w:cs="Times New Roman"/>
          <w:sz w:val="24"/>
          <w:szCs w:val="24"/>
        </w:rPr>
        <w:t xml:space="preserve"> od čega je utrošeno </w:t>
      </w:r>
      <w:r w:rsidR="007275EA">
        <w:rPr>
          <w:rFonts w:ascii="Times New Roman" w:eastAsia="Calibri" w:hAnsi="Times New Roman" w:cs="Times New Roman"/>
          <w:sz w:val="24"/>
          <w:szCs w:val="24"/>
        </w:rPr>
        <w:t>1.894.459,28</w:t>
      </w:r>
      <w:r w:rsidRPr="00CC4715">
        <w:rPr>
          <w:rFonts w:ascii="Times New Roman" w:eastAsia="Calibri" w:hAnsi="Times New Roman" w:cs="Times New Roman"/>
          <w:sz w:val="24"/>
          <w:szCs w:val="24"/>
        </w:rPr>
        <w:t xml:space="preserve"> ili </w:t>
      </w:r>
      <w:r w:rsidR="00A72837" w:rsidRPr="00CC4715">
        <w:rPr>
          <w:rFonts w:ascii="Times New Roman" w:eastAsia="Calibri" w:hAnsi="Times New Roman" w:cs="Times New Roman"/>
          <w:sz w:val="24"/>
          <w:szCs w:val="24"/>
        </w:rPr>
        <w:t xml:space="preserve"> </w:t>
      </w:r>
      <w:r w:rsidR="007275EA">
        <w:rPr>
          <w:rFonts w:ascii="Times New Roman" w:eastAsia="Calibri" w:hAnsi="Times New Roman" w:cs="Times New Roman"/>
          <w:sz w:val="24"/>
          <w:szCs w:val="24"/>
        </w:rPr>
        <w:t>49,64</w:t>
      </w:r>
      <w:r w:rsidR="008C335F">
        <w:rPr>
          <w:rFonts w:ascii="Times New Roman" w:eastAsia="Calibri" w:hAnsi="Times New Roman" w:cs="Times New Roman"/>
          <w:sz w:val="24"/>
          <w:szCs w:val="24"/>
        </w:rPr>
        <w:t xml:space="preserve"> </w:t>
      </w:r>
      <w:r w:rsidR="00FF4A0F" w:rsidRPr="00CC4715">
        <w:rPr>
          <w:rFonts w:ascii="Times New Roman" w:eastAsia="Calibri" w:hAnsi="Times New Roman" w:cs="Times New Roman"/>
          <w:sz w:val="24"/>
          <w:szCs w:val="24"/>
        </w:rPr>
        <w:t xml:space="preserve">% </w:t>
      </w:r>
      <w:r w:rsidRPr="00CC4715">
        <w:rPr>
          <w:rFonts w:ascii="Times New Roman" w:eastAsia="Calibri" w:hAnsi="Times New Roman" w:cs="Times New Roman"/>
          <w:sz w:val="24"/>
          <w:szCs w:val="24"/>
        </w:rPr>
        <w:t xml:space="preserve">godišnjeg plana. </w:t>
      </w:r>
    </w:p>
    <w:p w:rsidR="00DA335D" w:rsidRPr="00C65AD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Aktivnost – materijalni i financijski rashodi do minimalnog standarda.</w:t>
      </w:r>
      <w:r w:rsidRPr="008B13EE">
        <w:rPr>
          <w:rFonts w:ascii="Times New Roman" w:eastAsia="Calibri" w:hAnsi="Times New Roman" w:cs="Times New Roman"/>
          <w:sz w:val="24"/>
          <w:szCs w:val="24"/>
        </w:rPr>
        <w:t xml:space="preserve"> Za potrebe izvršenja aktivnosti sadržanih u ovom programu za 202</w:t>
      </w:r>
      <w:r w:rsidR="007275EA">
        <w:rPr>
          <w:rFonts w:ascii="Times New Roman" w:eastAsia="Calibri" w:hAnsi="Times New Roman" w:cs="Times New Roman"/>
          <w:sz w:val="24"/>
          <w:szCs w:val="24"/>
        </w:rPr>
        <w:t>6</w:t>
      </w:r>
      <w:r w:rsidRPr="008B13EE">
        <w:rPr>
          <w:rFonts w:ascii="Times New Roman" w:eastAsia="Calibri" w:hAnsi="Times New Roman" w:cs="Times New Roman"/>
          <w:sz w:val="24"/>
          <w:szCs w:val="24"/>
        </w:rPr>
        <w:t xml:space="preserve">. godinu planirana su ukupna sredstva od </w:t>
      </w:r>
      <w:r w:rsidR="007275EA">
        <w:rPr>
          <w:rFonts w:ascii="Times New Roman" w:eastAsia="Calibri" w:hAnsi="Times New Roman" w:cs="Times New Roman"/>
          <w:sz w:val="24"/>
          <w:szCs w:val="24"/>
        </w:rPr>
        <w:t>249.300</w:t>
      </w:r>
      <w:r w:rsidR="00A72837" w:rsidRPr="008B13EE">
        <w:rPr>
          <w:rFonts w:ascii="Times New Roman" w:eastAsia="Calibri" w:hAnsi="Times New Roman" w:cs="Times New Roman"/>
          <w:sz w:val="24"/>
          <w:szCs w:val="24"/>
        </w:rPr>
        <w:t>,00</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 čega je u promatranom razdoblju utrošeno </w:t>
      </w:r>
      <w:r w:rsidR="007275EA">
        <w:rPr>
          <w:rFonts w:ascii="Times New Roman" w:eastAsia="Calibri" w:hAnsi="Times New Roman" w:cs="Times New Roman"/>
          <w:sz w:val="24"/>
          <w:szCs w:val="24"/>
        </w:rPr>
        <w:t>168.226,64</w:t>
      </w:r>
      <w:r w:rsidR="008C335F">
        <w:rPr>
          <w:rFonts w:ascii="Times New Roman" w:eastAsia="Calibri" w:hAnsi="Times New Roman" w:cs="Times New Roman"/>
          <w:sz w:val="24"/>
          <w:szCs w:val="24"/>
        </w:rPr>
        <w:t xml:space="preserve"> </w:t>
      </w:r>
      <w:r w:rsidR="00C71DA7"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odnosno </w:t>
      </w:r>
      <w:r w:rsidR="007275EA">
        <w:rPr>
          <w:rFonts w:ascii="Times New Roman" w:eastAsia="Calibri" w:hAnsi="Times New Roman" w:cs="Times New Roman"/>
          <w:sz w:val="24"/>
          <w:szCs w:val="24"/>
        </w:rPr>
        <w:t>67,48</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w:t>
      </w:r>
      <w:r w:rsidR="00C65ADE" w:rsidRPr="00C65ADE">
        <w:rPr>
          <w:rFonts w:ascii="Times New Roman" w:hAnsi="Times New Roman" w:cs="Times New Roman"/>
          <w:sz w:val="24"/>
          <w:szCs w:val="24"/>
        </w:rPr>
        <w:t>Sredstva su namijenjena za pokriće materijalnih i financijskih rashoda, uključujući troškove energenata, uredskog materijala, tekućeg i investicijskog održavanja, usluga te ostalih rashoda nužnih za redovno obavljanje djelatnosti.</w:t>
      </w:r>
    </w:p>
    <w:p w:rsidR="003D23F9" w:rsidRPr="0086794E" w:rsidRDefault="00DA335D" w:rsidP="0086794E">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Aktivnost – materijalni i financijski rashodi iznad minimalnog standarda</w:t>
      </w:r>
      <w:r w:rsidRPr="008B13EE">
        <w:rPr>
          <w:rFonts w:ascii="Times New Roman" w:eastAsia="Calibri" w:hAnsi="Times New Roman" w:cs="Times New Roman"/>
          <w:sz w:val="24"/>
          <w:szCs w:val="24"/>
        </w:rPr>
        <w:t>. Za potrebe izvršenja aktivnosti sadržanih u ovom programu za 202</w:t>
      </w:r>
      <w:r w:rsidR="007275EA">
        <w:rPr>
          <w:rFonts w:ascii="Times New Roman" w:eastAsia="Calibri" w:hAnsi="Times New Roman" w:cs="Times New Roman"/>
          <w:sz w:val="24"/>
          <w:szCs w:val="24"/>
        </w:rPr>
        <w:t>6</w:t>
      </w:r>
      <w:r w:rsidRPr="008B13EE">
        <w:rPr>
          <w:rFonts w:ascii="Times New Roman" w:eastAsia="Calibri" w:hAnsi="Times New Roman" w:cs="Times New Roman"/>
          <w:sz w:val="24"/>
          <w:szCs w:val="24"/>
        </w:rPr>
        <w:t xml:space="preserve">. godinu planirana su ukupna sredstva od </w:t>
      </w:r>
      <w:r w:rsidR="007275EA">
        <w:rPr>
          <w:rFonts w:ascii="Times New Roman" w:eastAsia="Calibri" w:hAnsi="Times New Roman" w:cs="Times New Roman"/>
          <w:sz w:val="24"/>
          <w:szCs w:val="24"/>
        </w:rPr>
        <w:t>258.093,00</w:t>
      </w:r>
      <w:r w:rsidR="00671444" w:rsidRPr="008B13EE">
        <w:rPr>
          <w:rFonts w:ascii="Times New Roman" w:eastAsia="Calibri" w:hAnsi="Times New Roman" w:cs="Times New Roman"/>
          <w:sz w:val="24"/>
          <w:szCs w:val="24"/>
        </w:rPr>
        <w:t xml:space="preserve"> eura</w:t>
      </w:r>
      <w:r w:rsidRPr="008B13EE">
        <w:rPr>
          <w:rFonts w:ascii="Times New Roman" w:eastAsia="Calibri" w:hAnsi="Times New Roman" w:cs="Times New Roman"/>
          <w:sz w:val="24"/>
          <w:szCs w:val="24"/>
        </w:rPr>
        <w:t xml:space="preserve">, od čega je u promatranom razdoblju utrošeno </w:t>
      </w:r>
      <w:r w:rsidR="00350FAA">
        <w:rPr>
          <w:rFonts w:ascii="Times New Roman" w:eastAsia="Calibri" w:hAnsi="Times New Roman" w:cs="Times New Roman"/>
          <w:sz w:val="24"/>
          <w:szCs w:val="24"/>
        </w:rPr>
        <w:t>128.588,69</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odnosno </w:t>
      </w:r>
      <w:r w:rsidR="00350FAA">
        <w:rPr>
          <w:rFonts w:ascii="Times New Roman" w:eastAsia="Calibri" w:hAnsi="Times New Roman" w:cs="Times New Roman"/>
          <w:sz w:val="24"/>
          <w:szCs w:val="24"/>
        </w:rPr>
        <w:t>49,82</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materijalne i financijske rashode, izdataka za otplatu glavnice primljenog kredita.</w:t>
      </w:r>
    </w:p>
    <w:p w:rsidR="00C71DA7" w:rsidRPr="003D23F9" w:rsidRDefault="00C71DA7" w:rsidP="003D23F9">
      <w:pPr>
        <w:pStyle w:val="Odlomakpopisa"/>
        <w:numPr>
          <w:ilvl w:val="0"/>
          <w:numId w:val="15"/>
        </w:numPr>
        <w:spacing w:line="360" w:lineRule="auto"/>
        <w:jc w:val="both"/>
        <w:rPr>
          <w:rFonts w:ascii="Times New Roman" w:hAnsi="Times New Roman" w:cs="Times New Roman"/>
          <w:sz w:val="24"/>
          <w:szCs w:val="24"/>
        </w:rPr>
      </w:pPr>
      <w:r w:rsidRPr="003D23F9">
        <w:rPr>
          <w:rFonts w:ascii="Times New Roman" w:eastAsia="Calibri" w:hAnsi="Times New Roman" w:cs="Times New Roman"/>
          <w:b/>
          <w:sz w:val="24"/>
          <w:szCs w:val="24"/>
        </w:rPr>
        <w:t>Aktivnost – rashodi za zaposlene iznad minimalnog standarda</w:t>
      </w:r>
      <w:r w:rsidRPr="003D23F9">
        <w:rPr>
          <w:rFonts w:ascii="Times New Roman" w:eastAsia="Calibri" w:hAnsi="Times New Roman" w:cs="Times New Roman"/>
          <w:sz w:val="24"/>
          <w:szCs w:val="24"/>
        </w:rPr>
        <w:t>. Za potrebe izvršenja aktivnosti s</w:t>
      </w:r>
      <w:r w:rsidR="00954DB1" w:rsidRPr="003D23F9">
        <w:rPr>
          <w:rFonts w:ascii="Times New Roman" w:eastAsia="Calibri" w:hAnsi="Times New Roman" w:cs="Times New Roman"/>
          <w:sz w:val="24"/>
          <w:szCs w:val="24"/>
        </w:rPr>
        <w:t>adržanih u ovom programu za 2026</w:t>
      </w:r>
      <w:r w:rsidRPr="003D23F9">
        <w:rPr>
          <w:rFonts w:ascii="Times New Roman" w:eastAsia="Calibri" w:hAnsi="Times New Roman" w:cs="Times New Roman"/>
          <w:sz w:val="24"/>
          <w:szCs w:val="24"/>
        </w:rPr>
        <w:t xml:space="preserve">. godinu planirana su ukupna sredstva od </w:t>
      </w:r>
      <w:r w:rsidR="00954DB1" w:rsidRPr="003D23F9">
        <w:rPr>
          <w:rFonts w:ascii="Times New Roman" w:eastAsia="Calibri" w:hAnsi="Times New Roman" w:cs="Times New Roman"/>
          <w:sz w:val="24"/>
          <w:szCs w:val="24"/>
        </w:rPr>
        <w:t>1.200,00</w:t>
      </w:r>
      <w:r w:rsidRPr="003D23F9">
        <w:rPr>
          <w:rFonts w:ascii="Times New Roman" w:eastAsia="Calibri" w:hAnsi="Times New Roman" w:cs="Times New Roman"/>
          <w:sz w:val="24"/>
          <w:szCs w:val="24"/>
        </w:rPr>
        <w:t xml:space="preserve"> eura, od čega je u promatranom razdoblju utrošeno </w:t>
      </w:r>
      <w:r w:rsidR="00954DB1" w:rsidRPr="003D23F9">
        <w:rPr>
          <w:rFonts w:ascii="Times New Roman" w:eastAsia="Calibri" w:hAnsi="Times New Roman" w:cs="Times New Roman"/>
          <w:sz w:val="24"/>
          <w:szCs w:val="24"/>
        </w:rPr>
        <w:t>162,00</w:t>
      </w:r>
      <w:r w:rsidRPr="003D23F9">
        <w:rPr>
          <w:rFonts w:ascii="Times New Roman" w:eastAsia="Calibri" w:hAnsi="Times New Roman" w:cs="Times New Roman"/>
          <w:sz w:val="24"/>
          <w:szCs w:val="24"/>
        </w:rPr>
        <w:t xml:space="preserve"> eura odnosno </w:t>
      </w:r>
      <w:r w:rsidR="00954DB1" w:rsidRPr="003D23F9">
        <w:rPr>
          <w:rFonts w:ascii="Times New Roman" w:eastAsia="Calibri" w:hAnsi="Times New Roman" w:cs="Times New Roman"/>
          <w:sz w:val="24"/>
          <w:szCs w:val="24"/>
        </w:rPr>
        <w:t>13,50</w:t>
      </w:r>
      <w:r w:rsidR="00CE333F" w:rsidRPr="003D23F9">
        <w:rPr>
          <w:rFonts w:ascii="Times New Roman" w:eastAsia="Calibri" w:hAnsi="Times New Roman" w:cs="Times New Roman"/>
          <w:sz w:val="24"/>
          <w:szCs w:val="24"/>
        </w:rPr>
        <w:t xml:space="preserve"> </w:t>
      </w:r>
      <w:r w:rsidRPr="003D23F9">
        <w:rPr>
          <w:rFonts w:ascii="Times New Roman" w:eastAsia="Calibri" w:hAnsi="Times New Roman" w:cs="Times New Roman"/>
          <w:sz w:val="24"/>
          <w:szCs w:val="24"/>
        </w:rPr>
        <w:t>% godišnjeg plana.</w:t>
      </w:r>
      <w:r w:rsidR="006B0493" w:rsidRPr="003D23F9">
        <w:rPr>
          <w:rFonts w:ascii="Times New Roman" w:eastAsia="Calibri" w:hAnsi="Times New Roman" w:cs="Times New Roman"/>
          <w:sz w:val="24"/>
          <w:szCs w:val="24"/>
        </w:rPr>
        <w:t xml:space="preserve"> Sredstva se odnose na </w:t>
      </w:r>
      <w:r w:rsidR="003D23F9" w:rsidRPr="003D23F9">
        <w:rPr>
          <w:rFonts w:ascii="Times New Roman" w:eastAsia="Times New Roman" w:hAnsi="Times New Roman" w:cs="Times New Roman"/>
          <w:sz w:val="24"/>
          <w:szCs w:val="24"/>
          <w:lang w:eastAsia="hr-HR"/>
        </w:rPr>
        <w:t>nagrade članovima županijskih povjerenstava OŠ Ivane Brlić-Mažuranić Virovitica.</w:t>
      </w:r>
    </w:p>
    <w:p w:rsidR="00DA335D" w:rsidRPr="008B13EE" w:rsidRDefault="00DA335D" w:rsidP="00C65ADE">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lastRenderedPageBreak/>
        <w:t>Aktivnost – produženi boravak</w:t>
      </w:r>
      <w:r w:rsidRPr="008B13EE">
        <w:rPr>
          <w:rFonts w:ascii="Times New Roman" w:eastAsia="Calibri" w:hAnsi="Times New Roman" w:cs="Times New Roman"/>
          <w:sz w:val="24"/>
          <w:szCs w:val="24"/>
        </w:rPr>
        <w:t>. Za potrebe izvršenja aktivnosti sadržanih u ovom programu za 202</w:t>
      </w:r>
      <w:r w:rsidR="003D23F9">
        <w:rPr>
          <w:rFonts w:ascii="Times New Roman" w:eastAsia="Calibri" w:hAnsi="Times New Roman" w:cs="Times New Roman"/>
          <w:sz w:val="24"/>
          <w:szCs w:val="24"/>
        </w:rPr>
        <w:t>6</w:t>
      </w:r>
      <w:r w:rsidRPr="008B13EE">
        <w:rPr>
          <w:rFonts w:ascii="Times New Roman" w:eastAsia="Calibri" w:hAnsi="Times New Roman" w:cs="Times New Roman"/>
          <w:sz w:val="24"/>
          <w:szCs w:val="24"/>
        </w:rPr>
        <w:t xml:space="preserve">. godinu planirana su ukupna sredstva od </w:t>
      </w:r>
      <w:r w:rsidR="003D23F9">
        <w:rPr>
          <w:rFonts w:ascii="Times New Roman" w:eastAsia="Calibri" w:hAnsi="Times New Roman" w:cs="Times New Roman"/>
          <w:sz w:val="24"/>
          <w:szCs w:val="24"/>
        </w:rPr>
        <w:t>111.000</w:t>
      </w:r>
      <w:r w:rsidR="00C71DA7" w:rsidRPr="008B13EE">
        <w:rPr>
          <w:rFonts w:ascii="Times New Roman" w:eastAsia="Calibri" w:hAnsi="Times New Roman" w:cs="Times New Roman"/>
          <w:sz w:val="24"/>
          <w:szCs w:val="24"/>
        </w:rPr>
        <w:t>,00</w:t>
      </w:r>
      <w:r w:rsidRPr="008B13EE">
        <w:rPr>
          <w:rFonts w:ascii="Times New Roman" w:eastAsia="Calibri" w:hAnsi="Times New Roman" w:cs="Times New Roman"/>
          <w:sz w:val="24"/>
          <w:szCs w:val="24"/>
        </w:rPr>
        <w:t xml:space="preserve"> </w:t>
      </w:r>
      <w:r w:rsidR="00671444" w:rsidRPr="008B13EE">
        <w:rPr>
          <w:rFonts w:ascii="Times New Roman" w:eastAsia="Calibri" w:hAnsi="Times New Roman" w:cs="Times New Roman"/>
          <w:sz w:val="24"/>
          <w:szCs w:val="24"/>
        </w:rPr>
        <w:t>eura</w:t>
      </w:r>
      <w:r w:rsidRPr="008B13EE">
        <w:rPr>
          <w:rFonts w:ascii="Times New Roman" w:eastAsia="Calibri" w:hAnsi="Times New Roman" w:cs="Times New Roman"/>
          <w:sz w:val="24"/>
          <w:szCs w:val="24"/>
        </w:rPr>
        <w:t xml:space="preserve">, od čega je u promatranom razdoblju utrošeno </w:t>
      </w:r>
      <w:r w:rsidR="003D23F9">
        <w:rPr>
          <w:rFonts w:ascii="Times New Roman" w:eastAsia="Calibri" w:hAnsi="Times New Roman" w:cs="Times New Roman"/>
          <w:sz w:val="24"/>
          <w:szCs w:val="24"/>
        </w:rPr>
        <w:t>47.112,09</w:t>
      </w:r>
      <w:r w:rsidR="00671444" w:rsidRPr="008B13EE">
        <w:rPr>
          <w:rFonts w:ascii="Times New Roman" w:eastAsia="Calibri" w:hAnsi="Times New Roman" w:cs="Times New Roman"/>
          <w:sz w:val="24"/>
          <w:szCs w:val="24"/>
        </w:rPr>
        <w:t xml:space="preserve"> eura</w:t>
      </w:r>
      <w:r w:rsidRPr="008B13EE">
        <w:rPr>
          <w:rFonts w:ascii="Times New Roman" w:eastAsia="Calibri" w:hAnsi="Times New Roman" w:cs="Times New Roman"/>
          <w:sz w:val="24"/>
          <w:szCs w:val="24"/>
        </w:rPr>
        <w:t xml:space="preserve"> odnosno </w:t>
      </w:r>
      <w:r w:rsidR="003D23F9">
        <w:rPr>
          <w:rFonts w:ascii="Times New Roman" w:eastAsia="Calibri" w:hAnsi="Times New Roman" w:cs="Times New Roman"/>
          <w:sz w:val="24"/>
          <w:szCs w:val="24"/>
        </w:rPr>
        <w:t>42,44</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6B0493">
        <w:rPr>
          <w:rFonts w:ascii="Times New Roman" w:eastAsia="Calibri" w:hAnsi="Times New Roman" w:cs="Times New Roman"/>
          <w:sz w:val="24"/>
          <w:szCs w:val="24"/>
        </w:rPr>
        <w:t xml:space="preserve"> Sredstva se odnose na plaće </w:t>
      </w:r>
      <w:r w:rsidR="0010797F">
        <w:rPr>
          <w:rFonts w:ascii="Times New Roman" w:eastAsia="Calibri" w:hAnsi="Times New Roman" w:cs="Times New Roman"/>
          <w:sz w:val="24"/>
          <w:szCs w:val="24"/>
        </w:rPr>
        <w:t>zaposlenika u produženom boravku i materijalnih rashoda.</w:t>
      </w:r>
    </w:p>
    <w:p w:rsidR="008563D6" w:rsidRPr="003D23F9" w:rsidRDefault="00DA335D" w:rsidP="00C65ADE">
      <w:pPr>
        <w:pStyle w:val="Bezproreda"/>
        <w:numPr>
          <w:ilvl w:val="0"/>
          <w:numId w:val="14"/>
        </w:numPr>
        <w:spacing w:line="360" w:lineRule="auto"/>
        <w:jc w:val="both"/>
        <w:rPr>
          <w:rFonts w:ascii="Times New Roman" w:hAnsi="Times New Roman" w:cs="Times New Roman"/>
          <w:sz w:val="24"/>
          <w:szCs w:val="24"/>
        </w:rPr>
      </w:pPr>
      <w:r w:rsidRPr="00CC4715">
        <w:rPr>
          <w:rFonts w:ascii="Times New Roman" w:hAnsi="Times New Roman" w:cs="Times New Roman"/>
          <w:b/>
          <w:sz w:val="24"/>
          <w:szCs w:val="24"/>
        </w:rPr>
        <w:t>Aktivnost – rashodi za zaposlene-državni proračun</w:t>
      </w:r>
      <w:r w:rsidRPr="00CC4715">
        <w:rPr>
          <w:rFonts w:ascii="Times New Roman" w:hAnsi="Times New Roman" w:cs="Times New Roman"/>
          <w:sz w:val="24"/>
          <w:szCs w:val="24"/>
        </w:rPr>
        <w:t>. Za potrebe izvršenja aktivnosti sadržanih u ovom programu za 202</w:t>
      </w:r>
      <w:r w:rsidR="003D23F9">
        <w:rPr>
          <w:rFonts w:ascii="Times New Roman" w:hAnsi="Times New Roman" w:cs="Times New Roman"/>
          <w:sz w:val="24"/>
          <w:szCs w:val="24"/>
        </w:rPr>
        <w:t>6</w:t>
      </w:r>
      <w:r w:rsidRPr="00CC4715">
        <w:rPr>
          <w:rFonts w:ascii="Times New Roman" w:hAnsi="Times New Roman" w:cs="Times New Roman"/>
          <w:sz w:val="24"/>
          <w:szCs w:val="24"/>
        </w:rPr>
        <w:t xml:space="preserve">. godinu planirana su ukupna sredstva od </w:t>
      </w:r>
      <w:r w:rsidR="003D23F9">
        <w:rPr>
          <w:rFonts w:ascii="Times New Roman" w:hAnsi="Times New Roman" w:cs="Times New Roman"/>
          <w:sz w:val="24"/>
          <w:szCs w:val="24"/>
        </w:rPr>
        <w:t>3.044.060,00</w:t>
      </w:r>
      <w:r w:rsidR="00671444" w:rsidRPr="00CC4715">
        <w:rPr>
          <w:rFonts w:ascii="Times New Roman" w:hAnsi="Times New Roman" w:cs="Times New Roman"/>
          <w:sz w:val="24"/>
          <w:szCs w:val="24"/>
        </w:rPr>
        <w:t xml:space="preserve"> eura</w:t>
      </w:r>
      <w:r w:rsidRPr="00CC4715">
        <w:rPr>
          <w:rFonts w:ascii="Times New Roman" w:hAnsi="Times New Roman" w:cs="Times New Roman"/>
          <w:sz w:val="24"/>
          <w:szCs w:val="24"/>
        </w:rPr>
        <w:t xml:space="preserve">, od čega je u promatranom razdoblju utrošeno </w:t>
      </w:r>
      <w:r w:rsidR="003D23F9">
        <w:rPr>
          <w:rFonts w:ascii="Times New Roman" w:hAnsi="Times New Roman" w:cs="Times New Roman"/>
          <w:sz w:val="24"/>
          <w:szCs w:val="24"/>
        </w:rPr>
        <w:t>1.513.814,54</w:t>
      </w:r>
      <w:r w:rsidR="00671444" w:rsidRPr="00CC4715">
        <w:rPr>
          <w:rFonts w:ascii="Times New Roman" w:hAnsi="Times New Roman" w:cs="Times New Roman"/>
          <w:sz w:val="24"/>
          <w:szCs w:val="24"/>
        </w:rPr>
        <w:t xml:space="preserve"> eura</w:t>
      </w:r>
      <w:r w:rsidRPr="00CC4715">
        <w:rPr>
          <w:rFonts w:ascii="Times New Roman" w:hAnsi="Times New Roman" w:cs="Times New Roman"/>
          <w:sz w:val="24"/>
          <w:szCs w:val="24"/>
        </w:rPr>
        <w:t xml:space="preserve"> odnosno</w:t>
      </w:r>
      <w:r w:rsidR="00CB56E9" w:rsidRPr="00CC4715">
        <w:rPr>
          <w:rFonts w:ascii="Times New Roman" w:hAnsi="Times New Roman" w:cs="Times New Roman"/>
          <w:sz w:val="24"/>
          <w:szCs w:val="24"/>
        </w:rPr>
        <w:t xml:space="preserve"> </w:t>
      </w:r>
      <w:r w:rsidR="003D23F9">
        <w:rPr>
          <w:rFonts w:ascii="Times New Roman" w:hAnsi="Times New Roman" w:cs="Times New Roman"/>
          <w:sz w:val="24"/>
          <w:szCs w:val="24"/>
        </w:rPr>
        <w:t xml:space="preserve">49,73 </w:t>
      </w:r>
      <w:r w:rsidRPr="00CC4715">
        <w:rPr>
          <w:rFonts w:ascii="Times New Roman" w:hAnsi="Times New Roman" w:cs="Times New Roman"/>
          <w:sz w:val="24"/>
          <w:szCs w:val="24"/>
        </w:rPr>
        <w:t>% godišnjeg plana.</w:t>
      </w:r>
      <w:r w:rsidR="008563D6" w:rsidRPr="00CC4715">
        <w:rPr>
          <w:rFonts w:ascii="Times New Roman" w:hAnsi="Times New Roman" w:cs="Times New Roman"/>
          <w:sz w:val="24"/>
          <w:szCs w:val="24"/>
        </w:rPr>
        <w:t xml:space="preserve"> </w:t>
      </w:r>
      <w:r w:rsidR="006B0493" w:rsidRPr="006B0493">
        <w:rPr>
          <w:rFonts w:ascii="Times New Roman" w:hAnsi="Times New Roman" w:cs="Times New Roman"/>
          <w:sz w:val="24"/>
        </w:rPr>
        <w:t>Sredstva se odnose na plaće i materijalna prava zaposlenika u osnovnoškolskom obrazovanju.</w:t>
      </w:r>
    </w:p>
    <w:p w:rsidR="003D23F9" w:rsidRPr="003D23F9" w:rsidRDefault="003D23F9" w:rsidP="003D23F9">
      <w:pPr>
        <w:pStyle w:val="Odlomakpopisa"/>
        <w:numPr>
          <w:ilvl w:val="0"/>
          <w:numId w:val="14"/>
        </w:numPr>
        <w:spacing w:line="360" w:lineRule="auto"/>
        <w:ind w:right="142"/>
        <w:jc w:val="both"/>
        <w:rPr>
          <w:rFonts w:ascii="Times New Roman" w:eastAsia="Calibri" w:hAnsi="Times New Roman" w:cs="Times New Roman"/>
          <w:sz w:val="24"/>
          <w:szCs w:val="24"/>
        </w:rPr>
      </w:pPr>
      <w:r>
        <w:rPr>
          <w:rFonts w:ascii="Times New Roman" w:hAnsi="Times New Roman" w:cs="Times New Roman"/>
          <w:b/>
          <w:sz w:val="24"/>
          <w:szCs w:val="24"/>
        </w:rPr>
        <w:t xml:space="preserve">Kapitalni projekt </w:t>
      </w:r>
      <w:r w:rsidRPr="003D23F9">
        <w:rPr>
          <w:rFonts w:ascii="Times New Roman" w:hAnsi="Times New Roman" w:cs="Times New Roman"/>
          <w:b/>
          <w:sz w:val="24"/>
          <w:szCs w:val="24"/>
        </w:rPr>
        <w:t xml:space="preserve">- rekonstrukcija i dogradnja objekata školstva do minimalnog standarda </w:t>
      </w:r>
      <w:r>
        <w:rPr>
          <w:rFonts w:ascii="Times New Roman" w:hAnsi="Times New Roman" w:cs="Times New Roman"/>
          <w:sz w:val="24"/>
          <w:szCs w:val="24"/>
        </w:rPr>
        <w:t xml:space="preserve">- </w:t>
      </w:r>
      <w:r w:rsidRPr="008B13EE">
        <w:rPr>
          <w:rFonts w:ascii="Times New Roman" w:eastAsia="Calibri" w:hAnsi="Times New Roman" w:cs="Times New Roman"/>
          <w:sz w:val="24"/>
          <w:szCs w:val="24"/>
        </w:rPr>
        <w:t>Za potrebe izvršenja kapitalnog projekta za 202</w:t>
      </w:r>
      <w:r>
        <w:rPr>
          <w:rFonts w:ascii="Times New Roman" w:eastAsia="Calibri" w:hAnsi="Times New Roman" w:cs="Times New Roman"/>
          <w:sz w:val="24"/>
          <w:szCs w:val="24"/>
        </w:rPr>
        <w:t>6</w:t>
      </w:r>
      <w:r w:rsidRPr="008B13EE">
        <w:rPr>
          <w:rFonts w:ascii="Times New Roman" w:eastAsia="Calibri" w:hAnsi="Times New Roman" w:cs="Times New Roman"/>
          <w:sz w:val="24"/>
          <w:szCs w:val="24"/>
        </w:rPr>
        <w:t xml:space="preserve">. godinu planirana su ukupna sredstva od </w:t>
      </w:r>
      <w:r>
        <w:rPr>
          <w:rFonts w:ascii="Times New Roman" w:eastAsia="Calibri" w:hAnsi="Times New Roman" w:cs="Times New Roman"/>
          <w:sz w:val="24"/>
          <w:szCs w:val="24"/>
        </w:rPr>
        <w:t>50.000</w:t>
      </w:r>
      <w:r w:rsidRPr="008B13EE">
        <w:rPr>
          <w:rFonts w:ascii="Times New Roman" w:eastAsia="Calibri" w:hAnsi="Times New Roman" w:cs="Times New Roman"/>
          <w:sz w:val="24"/>
          <w:szCs w:val="24"/>
        </w:rPr>
        <w:t xml:space="preserve">,00 eura, od čega je u promatranom razdoblju utrošeno </w:t>
      </w:r>
      <w:r>
        <w:rPr>
          <w:rFonts w:ascii="Times New Roman" w:eastAsia="Calibri" w:hAnsi="Times New Roman" w:cs="Times New Roman"/>
          <w:sz w:val="24"/>
          <w:szCs w:val="24"/>
        </w:rPr>
        <w:t>3.250,00</w:t>
      </w:r>
      <w:r w:rsidRPr="008B13EE">
        <w:rPr>
          <w:rFonts w:ascii="Times New Roman" w:eastAsia="Calibri" w:hAnsi="Times New Roman" w:cs="Times New Roman"/>
          <w:sz w:val="24"/>
          <w:szCs w:val="24"/>
        </w:rPr>
        <w:t xml:space="preserve"> eura odnosno </w:t>
      </w:r>
      <w:r>
        <w:rPr>
          <w:rFonts w:ascii="Times New Roman" w:eastAsia="Calibri" w:hAnsi="Times New Roman" w:cs="Times New Roman"/>
          <w:sz w:val="24"/>
          <w:szCs w:val="24"/>
        </w:rPr>
        <w:t>6,50</w:t>
      </w:r>
      <w:r w:rsidRPr="008B13EE">
        <w:rPr>
          <w:rFonts w:ascii="Times New Roman" w:eastAsia="Calibri" w:hAnsi="Times New Roman" w:cs="Times New Roman"/>
          <w:sz w:val="24"/>
          <w:szCs w:val="24"/>
        </w:rPr>
        <w:t xml:space="preserve"> % godišnjeg  plana.  </w:t>
      </w:r>
      <w:r>
        <w:rPr>
          <w:rFonts w:ascii="Times New Roman" w:eastAsia="Calibri" w:hAnsi="Times New Roman" w:cs="Times New Roman"/>
          <w:sz w:val="24"/>
          <w:szCs w:val="24"/>
        </w:rPr>
        <w:t>Sredstva se odnose na izradu projektne dokumentacije za rekonstrukciju vanjskog košarkaškog igrališta.</w:t>
      </w:r>
    </w:p>
    <w:p w:rsidR="00DA335D" w:rsidRPr="008B13EE" w:rsidRDefault="00DA335D"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Kapitalni projekt – nabava nefinancijske imovine iznad min. standarda</w:t>
      </w:r>
      <w:r w:rsidRPr="008B13EE">
        <w:rPr>
          <w:rFonts w:ascii="Times New Roman" w:eastAsia="Calibri" w:hAnsi="Times New Roman" w:cs="Times New Roman"/>
          <w:sz w:val="24"/>
          <w:szCs w:val="24"/>
        </w:rPr>
        <w:t>. Za potrebe izvršenja kapitalnog projekta za 202</w:t>
      </w:r>
      <w:r w:rsidR="003D23F9">
        <w:rPr>
          <w:rFonts w:ascii="Times New Roman" w:eastAsia="Calibri" w:hAnsi="Times New Roman" w:cs="Times New Roman"/>
          <w:sz w:val="24"/>
          <w:szCs w:val="24"/>
        </w:rPr>
        <w:t>6</w:t>
      </w:r>
      <w:r w:rsidRPr="008B13EE">
        <w:rPr>
          <w:rFonts w:ascii="Times New Roman" w:eastAsia="Calibri" w:hAnsi="Times New Roman" w:cs="Times New Roman"/>
          <w:sz w:val="24"/>
          <w:szCs w:val="24"/>
        </w:rPr>
        <w:t>. godinu planirana su ukupna sredstva od</w:t>
      </w:r>
      <w:r w:rsidR="003A700F" w:rsidRPr="008B13EE">
        <w:rPr>
          <w:rFonts w:ascii="Times New Roman" w:eastAsia="Calibri" w:hAnsi="Times New Roman" w:cs="Times New Roman"/>
          <w:sz w:val="24"/>
          <w:szCs w:val="24"/>
        </w:rPr>
        <w:t xml:space="preserve"> </w:t>
      </w:r>
      <w:r w:rsidR="003D23F9">
        <w:rPr>
          <w:rFonts w:ascii="Times New Roman" w:eastAsia="Calibri" w:hAnsi="Times New Roman" w:cs="Times New Roman"/>
          <w:sz w:val="24"/>
          <w:szCs w:val="24"/>
        </w:rPr>
        <w:t>72.714,00</w:t>
      </w:r>
      <w:r w:rsidR="003A700F" w:rsidRPr="008B13EE">
        <w:rPr>
          <w:rFonts w:ascii="Times New Roman" w:eastAsia="Calibri" w:hAnsi="Times New Roman" w:cs="Times New Roman"/>
          <w:sz w:val="24"/>
          <w:szCs w:val="24"/>
        </w:rPr>
        <w:t xml:space="preserve"> eura</w:t>
      </w:r>
      <w:r w:rsidRPr="008B13EE">
        <w:rPr>
          <w:rFonts w:ascii="Times New Roman" w:eastAsia="Calibri" w:hAnsi="Times New Roman" w:cs="Times New Roman"/>
          <w:sz w:val="24"/>
          <w:szCs w:val="24"/>
        </w:rPr>
        <w:t xml:space="preserve">, od čega je u promatranom razdoblju utrošeno </w:t>
      </w:r>
      <w:r w:rsidR="003D23F9">
        <w:rPr>
          <w:rFonts w:ascii="Times New Roman" w:eastAsia="Calibri" w:hAnsi="Times New Roman" w:cs="Times New Roman"/>
          <w:sz w:val="24"/>
          <w:szCs w:val="24"/>
        </w:rPr>
        <w:t>17.996,43</w:t>
      </w:r>
      <w:r w:rsidR="00FD52FC" w:rsidRPr="008B13EE">
        <w:rPr>
          <w:rFonts w:ascii="Times New Roman" w:eastAsia="Calibri" w:hAnsi="Times New Roman" w:cs="Times New Roman"/>
          <w:sz w:val="24"/>
          <w:szCs w:val="24"/>
        </w:rPr>
        <w:t xml:space="preserve"> e</w:t>
      </w:r>
      <w:r w:rsidR="003A700F" w:rsidRPr="008B13EE">
        <w:rPr>
          <w:rFonts w:ascii="Times New Roman" w:eastAsia="Calibri" w:hAnsi="Times New Roman" w:cs="Times New Roman"/>
          <w:sz w:val="24"/>
          <w:szCs w:val="24"/>
        </w:rPr>
        <w:t>ura</w:t>
      </w:r>
      <w:r w:rsidRPr="008B13EE">
        <w:rPr>
          <w:rFonts w:ascii="Times New Roman" w:eastAsia="Calibri" w:hAnsi="Times New Roman" w:cs="Times New Roman"/>
          <w:sz w:val="24"/>
          <w:szCs w:val="24"/>
        </w:rPr>
        <w:t xml:space="preserve"> odnosno </w:t>
      </w:r>
      <w:r w:rsidR="003D23F9">
        <w:rPr>
          <w:rFonts w:ascii="Times New Roman" w:eastAsia="Calibri" w:hAnsi="Times New Roman" w:cs="Times New Roman"/>
          <w:sz w:val="24"/>
          <w:szCs w:val="24"/>
        </w:rPr>
        <w:t>24,75</w:t>
      </w:r>
      <w:r w:rsidR="00CE333F" w:rsidRPr="008B13EE">
        <w:rPr>
          <w:rFonts w:ascii="Times New Roman" w:eastAsia="Calibri" w:hAnsi="Times New Roman" w:cs="Times New Roman"/>
          <w:sz w:val="24"/>
          <w:szCs w:val="24"/>
        </w:rPr>
        <w:t xml:space="preserve"> </w:t>
      </w:r>
      <w:r w:rsidRPr="008B13EE">
        <w:rPr>
          <w:rFonts w:ascii="Times New Roman" w:eastAsia="Calibri" w:hAnsi="Times New Roman" w:cs="Times New Roman"/>
          <w:sz w:val="24"/>
          <w:szCs w:val="24"/>
        </w:rPr>
        <w:t>% godišnjeg plana</w:t>
      </w:r>
      <w:r w:rsidR="0010797F">
        <w:rPr>
          <w:rFonts w:ascii="Times New Roman" w:eastAsia="Calibri" w:hAnsi="Times New Roman" w:cs="Times New Roman"/>
          <w:sz w:val="24"/>
          <w:szCs w:val="24"/>
        </w:rPr>
        <w:t>. Sredstva se odnose na nabavu</w:t>
      </w:r>
      <w:r w:rsidR="003D23F9">
        <w:rPr>
          <w:rFonts w:ascii="Times New Roman" w:eastAsia="Calibri" w:hAnsi="Times New Roman" w:cs="Times New Roman"/>
          <w:sz w:val="24"/>
          <w:szCs w:val="24"/>
        </w:rPr>
        <w:t xml:space="preserve"> uredske opreme i namještaja, razglasa</w:t>
      </w:r>
      <w:r w:rsidR="003B65D9">
        <w:rPr>
          <w:rFonts w:ascii="Times New Roman" w:eastAsia="Calibri" w:hAnsi="Times New Roman" w:cs="Times New Roman"/>
          <w:sz w:val="24"/>
          <w:szCs w:val="24"/>
        </w:rPr>
        <w:t xml:space="preserve"> i knjiga za knjižnicu.</w:t>
      </w:r>
    </w:p>
    <w:p w:rsidR="00CE333F" w:rsidRPr="008B13EE" w:rsidRDefault="00CE333F" w:rsidP="00DB5E11">
      <w:pPr>
        <w:pStyle w:val="Odlomakpopisa"/>
        <w:numPr>
          <w:ilvl w:val="0"/>
          <w:numId w:val="14"/>
        </w:numPr>
        <w:spacing w:line="360" w:lineRule="auto"/>
        <w:jc w:val="both"/>
        <w:rPr>
          <w:rFonts w:ascii="Times New Roman" w:eastAsia="Calibri" w:hAnsi="Times New Roman" w:cs="Times New Roman"/>
          <w:sz w:val="24"/>
          <w:szCs w:val="24"/>
        </w:rPr>
      </w:pPr>
      <w:r w:rsidRPr="008B13EE">
        <w:rPr>
          <w:rFonts w:ascii="Times New Roman" w:eastAsia="Calibri" w:hAnsi="Times New Roman" w:cs="Times New Roman"/>
          <w:b/>
          <w:sz w:val="24"/>
          <w:szCs w:val="24"/>
        </w:rPr>
        <w:t>Tekući projekt – održavanje školskih objekata do minimalnog standarda</w:t>
      </w:r>
      <w:r w:rsidRPr="008B13EE">
        <w:rPr>
          <w:rFonts w:ascii="Times New Roman" w:eastAsia="Calibri" w:hAnsi="Times New Roman" w:cs="Times New Roman"/>
          <w:sz w:val="24"/>
          <w:szCs w:val="24"/>
        </w:rPr>
        <w:t>. Za potrebe iz</w:t>
      </w:r>
      <w:r w:rsidR="003B65D9">
        <w:rPr>
          <w:rFonts w:ascii="Times New Roman" w:eastAsia="Calibri" w:hAnsi="Times New Roman" w:cs="Times New Roman"/>
          <w:sz w:val="24"/>
          <w:szCs w:val="24"/>
        </w:rPr>
        <w:t>vršenja tekućeg projekta za 2026</w:t>
      </w:r>
      <w:r w:rsidRPr="008B13EE">
        <w:rPr>
          <w:rFonts w:ascii="Times New Roman" w:eastAsia="Calibri" w:hAnsi="Times New Roman" w:cs="Times New Roman"/>
          <w:sz w:val="24"/>
          <w:szCs w:val="24"/>
        </w:rPr>
        <w:t xml:space="preserve">. godinu planirana su ukupna sredstva od </w:t>
      </w:r>
      <w:r w:rsidR="003B65D9">
        <w:rPr>
          <w:rFonts w:ascii="Times New Roman" w:eastAsia="Calibri" w:hAnsi="Times New Roman" w:cs="Times New Roman"/>
          <w:sz w:val="24"/>
          <w:szCs w:val="24"/>
        </w:rPr>
        <w:t>30.351</w:t>
      </w:r>
      <w:r w:rsidRPr="008B13EE">
        <w:rPr>
          <w:rFonts w:ascii="Times New Roman" w:eastAsia="Calibri" w:hAnsi="Times New Roman" w:cs="Times New Roman"/>
          <w:sz w:val="24"/>
          <w:szCs w:val="24"/>
        </w:rPr>
        <w:t xml:space="preserve">,00 eura, od čega je u promatranom razdoblju utrošeno </w:t>
      </w:r>
      <w:r w:rsidR="003B65D9">
        <w:rPr>
          <w:rFonts w:ascii="Times New Roman" w:eastAsia="Calibri" w:hAnsi="Times New Roman" w:cs="Times New Roman"/>
          <w:sz w:val="24"/>
          <w:szCs w:val="24"/>
        </w:rPr>
        <w:t>15.308,89</w:t>
      </w:r>
      <w:r w:rsidRPr="008B13EE">
        <w:rPr>
          <w:rFonts w:ascii="Times New Roman" w:eastAsia="Calibri" w:hAnsi="Times New Roman" w:cs="Times New Roman"/>
          <w:sz w:val="24"/>
          <w:szCs w:val="24"/>
        </w:rPr>
        <w:t xml:space="preserve"> eura odnosno </w:t>
      </w:r>
      <w:r w:rsidR="003B65D9">
        <w:rPr>
          <w:rFonts w:ascii="Times New Roman" w:eastAsia="Calibri" w:hAnsi="Times New Roman" w:cs="Times New Roman"/>
          <w:sz w:val="24"/>
          <w:szCs w:val="24"/>
        </w:rPr>
        <w:t xml:space="preserve">50,44 </w:t>
      </w:r>
      <w:r w:rsidRPr="008B13EE">
        <w:rPr>
          <w:rFonts w:ascii="Times New Roman" w:eastAsia="Calibri" w:hAnsi="Times New Roman" w:cs="Times New Roman"/>
          <w:sz w:val="24"/>
          <w:szCs w:val="24"/>
        </w:rPr>
        <w:t xml:space="preserve">% godišnjeg plana.  </w:t>
      </w:r>
      <w:r w:rsidR="0010797F">
        <w:rPr>
          <w:rFonts w:ascii="Times New Roman" w:eastAsia="Calibri" w:hAnsi="Times New Roman" w:cs="Times New Roman"/>
          <w:sz w:val="24"/>
          <w:szCs w:val="24"/>
        </w:rPr>
        <w:t xml:space="preserve">Sredstva se odnose na materijal i usluge za </w:t>
      </w:r>
      <w:r w:rsidR="003B65D9">
        <w:rPr>
          <w:rFonts w:ascii="Times New Roman" w:eastAsia="Calibri" w:hAnsi="Times New Roman" w:cs="Times New Roman"/>
          <w:sz w:val="24"/>
          <w:szCs w:val="24"/>
        </w:rPr>
        <w:t xml:space="preserve"> tekuće i investicijsko </w:t>
      </w:r>
      <w:r w:rsidR="0010797F">
        <w:rPr>
          <w:rFonts w:ascii="Times New Roman" w:eastAsia="Calibri" w:hAnsi="Times New Roman" w:cs="Times New Roman"/>
          <w:sz w:val="24"/>
          <w:szCs w:val="24"/>
        </w:rPr>
        <w:t>održavanje školskih objekata škole.</w:t>
      </w:r>
    </w:p>
    <w:p w:rsidR="00CE333F" w:rsidRPr="00CC4715" w:rsidRDefault="00CE333F" w:rsidP="001E0E79">
      <w:pPr>
        <w:jc w:val="both"/>
        <w:rPr>
          <w:rFonts w:ascii="Times New Roman" w:eastAsia="Calibri" w:hAnsi="Times New Roman" w:cs="Times New Roman"/>
          <w:sz w:val="24"/>
          <w:szCs w:val="24"/>
        </w:rPr>
      </w:pPr>
    </w:p>
    <w:p w:rsidR="00DA335D" w:rsidRPr="00CC4715" w:rsidRDefault="00DA335D" w:rsidP="001E0E79">
      <w:pPr>
        <w:spacing w:after="160"/>
        <w:rPr>
          <w:rFonts w:ascii="Times New Roman" w:eastAsia="Calibri" w:hAnsi="Times New Roman" w:cs="Times New Roman"/>
          <w:b/>
          <w:sz w:val="24"/>
          <w:szCs w:val="24"/>
          <w:u w:val="single"/>
        </w:rPr>
      </w:pPr>
      <w:bookmarkStart w:id="5" w:name="_Hlk77606840"/>
      <w:r w:rsidRPr="00CC4715">
        <w:rPr>
          <w:rFonts w:ascii="Times New Roman" w:eastAsia="Calibri" w:hAnsi="Times New Roman" w:cs="Times New Roman"/>
          <w:b/>
          <w:sz w:val="24"/>
          <w:szCs w:val="24"/>
          <w:u w:val="single"/>
        </w:rPr>
        <w:t xml:space="preserve">Ostvarenje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217"/>
        <w:gridCol w:w="1035"/>
        <w:gridCol w:w="1389"/>
        <w:gridCol w:w="1217"/>
        <w:gridCol w:w="1348"/>
      </w:tblGrid>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Pokazatelj rezultata</w:t>
            </w:r>
          </w:p>
        </w:tc>
        <w:tc>
          <w:tcPr>
            <w:tcW w:w="2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Definicija pokazatelja</w:t>
            </w:r>
          </w:p>
        </w:tc>
        <w:tc>
          <w:tcPr>
            <w:tcW w:w="1003"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Jedinica</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Polazna vrijednost </w:t>
            </w:r>
            <w:r w:rsidR="007F6416">
              <w:rPr>
                <w:rFonts w:ascii="Times New Roman" w:eastAsia="Calibri" w:hAnsi="Times New Roman" w:cs="Times New Roman"/>
                <w:b/>
                <w:bCs/>
              </w:rPr>
              <w:t>2025</w:t>
            </w:r>
            <w:r w:rsidR="00CE333F" w:rsidRPr="00CC4715">
              <w:rPr>
                <w:rFonts w:ascii="Times New Roman" w:eastAsia="Calibri" w:hAnsi="Times New Roman" w:cs="Times New Roman"/>
                <w:b/>
                <w:bCs/>
              </w:rPr>
              <w:t>.</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 xml:space="preserve">Ciljana vrijednost </w:t>
            </w:r>
            <w:r w:rsidR="007F6416">
              <w:rPr>
                <w:rFonts w:ascii="Times New Roman" w:eastAsia="Calibri" w:hAnsi="Times New Roman" w:cs="Times New Roman"/>
                <w:b/>
                <w:bCs/>
              </w:rPr>
              <w:t>2026</w:t>
            </w:r>
            <w:r w:rsidR="00CE333F" w:rsidRPr="00CC4715">
              <w:rPr>
                <w:rFonts w:ascii="Times New Roman" w:eastAsia="Calibri" w:hAnsi="Times New Roman" w:cs="Times New Roman"/>
                <w:b/>
                <w:bCs/>
              </w:rPr>
              <w:t>.</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b/>
                <w:bCs/>
              </w:rPr>
            </w:pPr>
            <w:r w:rsidRPr="00CC4715">
              <w:rPr>
                <w:rFonts w:ascii="Times New Roman" w:eastAsia="Calibri" w:hAnsi="Times New Roman" w:cs="Times New Roman"/>
                <w:b/>
                <w:bCs/>
              </w:rPr>
              <w:t>Ostvarena vrijednost I-</w:t>
            </w:r>
            <w:r w:rsidR="007F6416">
              <w:rPr>
                <w:rFonts w:ascii="Times New Roman" w:eastAsia="Calibri" w:hAnsi="Times New Roman" w:cs="Times New Roman"/>
                <w:b/>
                <w:bCs/>
              </w:rPr>
              <w:t>VI.</w:t>
            </w:r>
            <w:r w:rsidRPr="00CC4715">
              <w:rPr>
                <w:rFonts w:ascii="Times New Roman" w:eastAsia="Calibri" w:hAnsi="Times New Roman" w:cs="Times New Roman"/>
                <w:b/>
                <w:bCs/>
              </w:rPr>
              <w:t xml:space="preserve"> 202</w:t>
            </w:r>
            <w:r w:rsidR="007F6416">
              <w:rPr>
                <w:rFonts w:ascii="Times New Roman" w:eastAsia="Calibri" w:hAnsi="Times New Roman" w:cs="Times New Roman"/>
                <w:b/>
                <w:bCs/>
              </w:rPr>
              <w:t>6</w:t>
            </w:r>
            <w:r w:rsidR="00803BD5">
              <w:rPr>
                <w:rFonts w:ascii="Times New Roman" w:eastAsia="Calibri" w:hAnsi="Times New Roman" w:cs="Times New Roman"/>
                <w:b/>
                <w:bCs/>
              </w:rPr>
              <w:t>.</w:t>
            </w:r>
          </w:p>
        </w:tc>
      </w:tr>
      <w:tr w:rsidR="006B0493" w:rsidRPr="00CC4715" w:rsidTr="00F925BA">
        <w:trPr>
          <w:trHeight w:val="805"/>
        </w:trPr>
        <w:tc>
          <w:tcPr>
            <w:tcW w:w="1752" w:type="dxa"/>
            <w:tcBorders>
              <w:bottom w:val="single" w:sz="4" w:space="0" w:color="auto"/>
            </w:tcBorders>
            <w:shd w:val="clear" w:color="auto" w:fill="auto"/>
          </w:tcPr>
          <w:p w:rsidR="006B0493" w:rsidRPr="00460E76" w:rsidRDefault="006B0493" w:rsidP="006B0493">
            <w:pPr>
              <w:spacing w:after="0"/>
              <w:rPr>
                <w:rFonts w:ascii="Times New Roman" w:eastAsia="Calibri" w:hAnsi="Times New Roman" w:cs="Times New Roman"/>
                <w:lang w:eastAsia="hr-HR"/>
              </w:rPr>
            </w:pPr>
            <w:r w:rsidRPr="00460E76">
              <w:rPr>
                <w:rFonts w:ascii="Times New Roman" w:hAnsi="Times New Roman" w:cs="Times New Roman"/>
              </w:rPr>
              <w:t xml:space="preserve">Broj učenika u osnovnom obrazovanju </w:t>
            </w:r>
          </w:p>
        </w:tc>
        <w:tc>
          <w:tcPr>
            <w:tcW w:w="2217" w:type="dxa"/>
            <w:tcBorders>
              <w:bottom w:val="single" w:sz="4" w:space="0" w:color="auto"/>
            </w:tcBorders>
            <w:shd w:val="clear" w:color="auto" w:fill="auto"/>
          </w:tcPr>
          <w:p w:rsidR="006B0493" w:rsidRPr="00460E76" w:rsidRDefault="006B0493" w:rsidP="001E0E79">
            <w:pPr>
              <w:spacing w:after="0"/>
              <w:rPr>
                <w:rFonts w:ascii="Times New Roman" w:eastAsia="Calibri" w:hAnsi="Times New Roman" w:cs="Times New Roman"/>
                <w:lang w:eastAsia="hr-HR"/>
              </w:rPr>
            </w:pPr>
            <w:r w:rsidRPr="00460E76">
              <w:rPr>
                <w:rFonts w:ascii="Times New Roman" w:hAnsi="Times New Roman" w:cs="Times New Roman"/>
              </w:rPr>
              <w:t>Provođenje nastave u osnovnoj školi za učenike</w:t>
            </w:r>
          </w:p>
        </w:tc>
        <w:tc>
          <w:tcPr>
            <w:tcW w:w="1003" w:type="dxa"/>
            <w:tcBorders>
              <w:bottom w:val="single" w:sz="4" w:space="0" w:color="auto"/>
            </w:tcBorders>
            <w:shd w:val="clear" w:color="auto" w:fill="auto"/>
          </w:tcPr>
          <w:p w:rsidR="006B0493" w:rsidRPr="00460E76" w:rsidRDefault="006B0493" w:rsidP="001E0E79">
            <w:pPr>
              <w:spacing w:after="0"/>
              <w:rPr>
                <w:rFonts w:ascii="Times New Roman" w:eastAsia="Calibri" w:hAnsi="Times New Roman" w:cs="Times New Roman"/>
              </w:rPr>
            </w:pPr>
            <w:r w:rsidRPr="00460E76">
              <w:rPr>
                <w:rFonts w:ascii="Times New Roman" w:hAnsi="Times New Roman" w:cs="Times New Roman"/>
              </w:rPr>
              <w:t>Broj učenika</w:t>
            </w:r>
          </w:p>
        </w:tc>
        <w:tc>
          <w:tcPr>
            <w:tcW w:w="1389" w:type="dxa"/>
            <w:tcBorders>
              <w:bottom w:val="single" w:sz="4" w:space="0" w:color="auto"/>
            </w:tcBorders>
            <w:shd w:val="clear" w:color="auto" w:fill="auto"/>
          </w:tcPr>
          <w:p w:rsidR="006B0493" w:rsidRPr="00CC4715" w:rsidRDefault="00EB6028" w:rsidP="001E0E79">
            <w:pPr>
              <w:spacing w:after="0"/>
              <w:jc w:val="center"/>
              <w:rPr>
                <w:rFonts w:ascii="Times New Roman" w:eastAsia="Calibri" w:hAnsi="Times New Roman" w:cs="Times New Roman"/>
              </w:rPr>
            </w:pPr>
            <w:r>
              <w:rPr>
                <w:rFonts w:ascii="Times New Roman" w:eastAsia="Calibri" w:hAnsi="Times New Roman" w:cs="Times New Roman"/>
              </w:rPr>
              <w:t>696</w:t>
            </w:r>
          </w:p>
        </w:tc>
        <w:tc>
          <w:tcPr>
            <w:tcW w:w="1217" w:type="dxa"/>
            <w:tcBorders>
              <w:bottom w:val="single" w:sz="4" w:space="0" w:color="auto"/>
            </w:tcBorders>
            <w:shd w:val="clear" w:color="auto" w:fill="auto"/>
          </w:tcPr>
          <w:p w:rsidR="006B0493" w:rsidRPr="00CC4715" w:rsidRDefault="00EB6028" w:rsidP="001E0E79">
            <w:pPr>
              <w:spacing w:after="0"/>
              <w:jc w:val="center"/>
              <w:rPr>
                <w:rFonts w:ascii="Times New Roman" w:eastAsia="Calibri" w:hAnsi="Times New Roman" w:cs="Times New Roman"/>
              </w:rPr>
            </w:pPr>
            <w:r>
              <w:rPr>
                <w:rFonts w:ascii="Times New Roman" w:eastAsia="Calibri" w:hAnsi="Times New Roman" w:cs="Times New Roman"/>
              </w:rPr>
              <w:t>696</w:t>
            </w:r>
          </w:p>
        </w:tc>
        <w:tc>
          <w:tcPr>
            <w:tcW w:w="1348" w:type="dxa"/>
            <w:tcBorders>
              <w:bottom w:val="single" w:sz="4" w:space="0" w:color="auto"/>
            </w:tcBorders>
            <w:shd w:val="clear" w:color="auto" w:fill="auto"/>
          </w:tcPr>
          <w:p w:rsidR="006B0493" w:rsidRPr="00CC4715" w:rsidRDefault="00302E80" w:rsidP="001E0E79">
            <w:pPr>
              <w:spacing w:after="0"/>
              <w:jc w:val="center"/>
              <w:rPr>
                <w:rFonts w:ascii="Times New Roman" w:eastAsia="Calibri" w:hAnsi="Times New Roman" w:cs="Times New Roman"/>
              </w:rPr>
            </w:pPr>
            <w:r>
              <w:rPr>
                <w:rFonts w:ascii="Times New Roman" w:eastAsia="Calibri" w:hAnsi="Times New Roman" w:cs="Times New Roman"/>
              </w:rPr>
              <w:t>696</w:t>
            </w:r>
          </w:p>
        </w:tc>
      </w:tr>
      <w:tr w:rsidR="006B0493" w:rsidRPr="00CC4715" w:rsidTr="00F925BA">
        <w:trPr>
          <w:trHeight w:val="805"/>
        </w:trPr>
        <w:tc>
          <w:tcPr>
            <w:tcW w:w="1752"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lang w:eastAsia="hr-HR"/>
              </w:rPr>
            </w:pPr>
            <w:r w:rsidRPr="001A008B">
              <w:rPr>
                <w:rFonts w:ascii="Times New Roman" w:hAnsi="Times New Roman" w:cs="Times New Roman"/>
              </w:rPr>
              <w:t>Broj korisnika poludnevnog boravka</w:t>
            </w:r>
          </w:p>
        </w:tc>
        <w:tc>
          <w:tcPr>
            <w:tcW w:w="2217"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lang w:eastAsia="hr-HR"/>
              </w:rPr>
            </w:pPr>
            <w:r w:rsidRPr="001A008B">
              <w:rPr>
                <w:rFonts w:ascii="Times New Roman" w:hAnsi="Times New Roman" w:cs="Times New Roman"/>
              </w:rPr>
              <w:t>Usluga korištenja poludnevnog boravka za korisnike</w:t>
            </w:r>
          </w:p>
        </w:tc>
        <w:tc>
          <w:tcPr>
            <w:tcW w:w="1003" w:type="dxa"/>
            <w:tcBorders>
              <w:bottom w:val="single" w:sz="4" w:space="0" w:color="auto"/>
            </w:tcBorders>
            <w:shd w:val="clear" w:color="auto" w:fill="auto"/>
          </w:tcPr>
          <w:p w:rsidR="006B0493" w:rsidRPr="001A008B" w:rsidRDefault="006B0493" w:rsidP="001E0E79">
            <w:pPr>
              <w:spacing w:after="0"/>
              <w:rPr>
                <w:rFonts w:ascii="Times New Roman" w:eastAsia="Calibri" w:hAnsi="Times New Roman" w:cs="Times New Roman"/>
              </w:rPr>
            </w:pPr>
            <w:r w:rsidRPr="001A008B">
              <w:rPr>
                <w:rFonts w:ascii="Times New Roman" w:hAnsi="Times New Roman" w:cs="Times New Roman"/>
              </w:rPr>
              <w:t>Broj korisnika</w:t>
            </w:r>
          </w:p>
        </w:tc>
        <w:tc>
          <w:tcPr>
            <w:tcW w:w="1389"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EB6028" w:rsidP="001E0E79">
            <w:pPr>
              <w:spacing w:after="0"/>
              <w:jc w:val="center"/>
              <w:rPr>
                <w:rFonts w:ascii="Times New Roman" w:eastAsia="Calibri" w:hAnsi="Times New Roman" w:cs="Times New Roman"/>
              </w:rPr>
            </w:pPr>
            <w:r>
              <w:rPr>
                <w:rFonts w:ascii="Times New Roman" w:eastAsia="Calibri" w:hAnsi="Times New Roman" w:cs="Times New Roman"/>
              </w:rPr>
              <w:t>80</w:t>
            </w:r>
          </w:p>
        </w:tc>
        <w:tc>
          <w:tcPr>
            <w:tcW w:w="1217"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EB6028" w:rsidP="001E0E79">
            <w:pPr>
              <w:spacing w:after="0"/>
              <w:jc w:val="center"/>
              <w:rPr>
                <w:rFonts w:ascii="Times New Roman" w:eastAsia="Calibri" w:hAnsi="Times New Roman" w:cs="Times New Roman"/>
              </w:rPr>
            </w:pPr>
            <w:r>
              <w:rPr>
                <w:rFonts w:ascii="Times New Roman" w:eastAsia="Calibri" w:hAnsi="Times New Roman" w:cs="Times New Roman"/>
              </w:rPr>
              <w:t>82</w:t>
            </w:r>
          </w:p>
        </w:tc>
        <w:tc>
          <w:tcPr>
            <w:tcW w:w="1348" w:type="dxa"/>
            <w:tcBorders>
              <w:bottom w:val="single" w:sz="4" w:space="0" w:color="auto"/>
            </w:tcBorders>
            <w:shd w:val="clear" w:color="auto" w:fill="auto"/>
          </w:tcPr>
          <w:p w:rsidR="00FD4528" w:rsidRDefault="00FD4528" w:rsidP="001E0E79">
            <w:pPr>
              <w:spacing w:after="0"/>
              <w:jc w:val="center"/>
              <w:rPr>
                <w:rFonts w:ascii="Times New Roman" w:eastAsia="Calibri" w:hAnsi="Times New Roman" w:cs="Times New Roman"/>
              </w:rPr>
            </w:pPr>
          </w:p>
          <w:p w:rsidR="006B0493" w:rsidRPr="00CC4715" w:rsidRDefault="00EB6028" w:rsidP="001E0E79">
            <w:pPr>
              <w:spacing w:after="0"/>
              <w:jc w:val="center"/>
              <w:rPr>
                <w:rFonts w:ascii="Times New Roman" w:eastAsia="Calibri" w:hAnsi="Times New Roman" w:cs="Times New Roman"/>
              </w:rPr>
            </w:pPr>
            <w:r>
              <w:rPr>
                <w:rFonts w:ascii="Times New Roman" w:eastAsia="Calibri" w:hAnsi="Times New Roman" w:cs="Times New Roman"/>
              </w:rPr>
              <w:t>75</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lang w:eastAsia="hr-HR"/>
              </w:rPr>
              <w:lastRenderedPageBreak/>
              <w:t>Održanje ostvarenja sredstava bilanciranih Odlukom i  uredbom V</w:t>
            </w:r>
            <w:r w:rsidR="002A528D">
              <w:rPr>
                <w:rFonts w:ascii="Times New Roman" w:eastAsia="Calibri" w:hAnsi="Times New Roman" w:cs="Times New Roman"/>
                <w:lang w:eastAsia="hr-HR"/>
              </w:rPr>
              <w:t>l</w:t>
            </w:r>
            <w:r w:rsidRPr="00CC4715">
              <w:rPr>
                <w:rFonts w:ascii="Times New Roman" w:eastAsia="Calibri" w:hAnsi="Times New Roman" w:cs="Times New Roman"/>
                <w:lang w:eastAsia="hr-HR"/>
              </w:rPr>
              <w:t>ade</w:t>
            </w:r>
          </w:p>
        </w:tc>
        <w:tc>
          <w:tcPr>
            <w:tcW w:w="2217"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lang w:eastAsia="hr-HR"/>
              </w:rPr>
              <w:t>Sredstva za osiguranje minimalnog financijskog standarda</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r w:rsidR="003B65D9">
              <w:rPr>
                <w:rFonts w:ascii="Times New Roman" w:eastAsia="Calibri" w:hAnsi="Times New Roman" w:cs="Times New Roman"/>
              </w:rPr>
              <w:t xml:space="preserve"> </w:t>
            </w:r>
            <w:r w:rsidRPr="00CC4715">
              <w:rPr>
                <w:rFonts w:ascii="Times New Roman" w:eastAsia="Calibri" w:hAnsi="Times New Roman" w:cs="Times New Roman"/>
              </w:rPr>
              <w:t>%</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3B65D9" w:rsidP="001E0E79">
            <w:pPr>
              <w:spacing w:after="0"/>
              <w:jc w:val="center"/>
              <w:rPr>
                <w:rFonts w:ascii="Times New Roman" w:eastAsia="Calibri" w:hAnsi="Times New Roman" w:cs="Times New Roman"/>
              </w:rPr>
            </w:pPr>
            <w:r>
              <w:rPr>
                <w:rFonts w:ascii="Times New Roman" w:eastAsia="Calibri" w:hAnsi="Times New Roman" w:cs="Times New Roman"/>
              </w:rPr>
              <w:t xml:space="preserve">100 </w:t>
            </w:r>
            <w:r w:rsidR="00DA335D" w:rsidRPr="00CC4715">
              <w:rPr>
                <w:rFonts w:ascii="Times New Roman" w:eastAsia="Calibri" w:hAnsi="Times New Roman" w:cs="Times New Roman"/>
              </w:rPr>
              <w:t>%</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3B65D9" w:rsidP="001E0E79">
            <w:pPr>
              <w:spacing w:after="0"/>
              <w:jc w:val="center"/>
              <w:rPr>
                <w:rFonts w:ascii="Times New Roman" w:eastAsia="Calibri" w:hAnsi="Times New Roman" w:cs="Times New Roman"/>
              </w:rPr>
            </w:pPr>
            <w:r>
              <w:rPr>
                <w:rFonts w:ascii="Times New Roman" w:eastAsia="Calibri" w:hAnsi="Times New Roman" w:cs="Times New Roman"/>
              </w:rPr>
              <w:t>67,48</w:t>
            </w:r>
            <w:r w:rsidR="00CE333F" w:rsidRPr="00CC4715">
              <w:rPr>
                <w:rFonts w:ascii="Times New Roman" w:eastAsia="Calibri" w:hAnsi="Times New Roman" w:cs="Times New Roman"/>
              </w:rPr>
              <w:t xml:space="preserve"> </w:t>
            </w:r>
            <w:r w:rsidR="008D6EBA" w:rsidRPr="00CC4715">
              <w:rPr>
                <w:rFonts w:ascii="Times New Roman" w:eastAsia="Calibri" w:hAnsi="Times New Roman" w:cs="Times New Roman"/>
              </w:rPr>
              <w:t>%</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lang w:eastAsia="hr-HR"/>
              </w:rPr>
            </w:pPr>
            <w:r w:rsidRPr="00CC4715">
              <w:rPr>
                <w:rFonts w:ascii="Times New Roman" w:eastAsia="Calibri" w:hAnsi="Times New Roman" w:cs="Times New Roman"/>
                <w:color w:val="000000"/>
                <w:lang w:eastAsia="hr-HR"/>
              </w:rPr>
              <w:t>Obuhvat  svih zainteresiranih učenika  škole</w:t>
            </w:r>
          </w:p>
        </w:tc>
        <w:tc>
          <w:tcPr>
            <w:tcW w:w="2217" w:type="dxa"/>
            <w:tcBorders>
              <w:bottom w:val="single" w:sz="4" w:space="0" w:color="auto"/>
            </w:tcBorders>
            <w:shd w:val="clear" w:color="auto" w:fill="auto"/>
          </w:tcPr>
          <w:p w:rsidR="00DA335D" w:rsidRPr="00CC4715" w:rsidRDefault="00DA335D" w:rsidP="001E0E79">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 xml:space="preserve">Sredstva za osiguranje materijalnih i financijski rashodi iznad  minimalnog standarda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3B65D9" w:rsidP="001E0E79">
            <w:pPr>
              <w:spacing w:after="0"/>
              <w:jc w:val="center"/>
              <w:rPr>
                <w:rFonts w:ascii="Times New Roman" w:eastAsia="Calibri" w:hAnsi="Times New Roman" w:cs="Times New Roman"/>
              </w:rPr>
            </w:pPr>
            <w:r>
              <w:rPr>
                <w:rFonts w:ascii="Times New Roman" w:eastAsia="Calibri" w:hAnsi="Times New Roman" w:cs="Times New Roman"/>
              </w:rPr>
              <w:t>49,82</w:t>
            </w:r>
            <w:r w:rsidR="00CE333F" w:rsidRPr="00CC4715">
              <w:rPr>
                <w:rFonts w:ascii="Times New Roman" w:eastAsia="Calibri" w:hAnsi="Times New Roman" w:cs="Times New Roman"/>
              </w:rPr>
              <w:t xml:space="preserve"> </w:t>
            </w:r>
            <w:r w:rsidR="00DA335D" w:rsidRPr="00CC4715">
              <w:rPr>
                <w:rFonts w:ascii="Times New Roman" w:eastAsia="Calibri" w:hAnsi="Times New Roman" w:cs="Times New Roman"/>
              </w:rPr>
              <w:t>%</w:t>
            </w:r>
          </w:p>
        </w:tc>
      </w:tr>
      <w:tr w:rsidR="00DA335D" w:rsidRPr="00CC4715" w:rsidTr="00F925BA">
        <w:trPr>
          <w:trHeight w:val="805"/>
        </w:trPr>
        <w:tc>
          <w:tcPr>
            <w:tcW w:w="1752" w:type="dxa"/>
            <w:tcBorders>
              <w:bottom w:val="single" w:sz="4" w:space="0" w:color="auto"/>
            </w:tcBorders>
            <w:shd w:val="clear" w:color="auto" w:fill="auto"/>
          </w:tcPr>
          <w:p w:rsidR="00DA335D" w:rsidRPr="002A528D" w:rsidRDefault="002A528D" w:rsidP="006B0493">
            <w:pPr>
              <w:spacing w:after="0"/>
              <w:rPr>
                <w:rFonts w:ascii="Times New Roman" w:eastAsia="Calibri" w:hAnsi="Times New Roman" w:cs="Times New Roman"/>
                <w:color w:val="000000"/>
                <w:lang w:eastAsia="hr-HR"/>
              </w:rPr>
            </w:pPr>
            <w:r w:rsidRPr="002A528D">
              <w:rPr>
                <w:rFonts w:ascii="Times New Roman" w:eastAsia="Calibri" w:hAnsi="Times New Roman" w:cs="Times New Roman"/>
                <w:lang w:eastAsia="hr-HR"/>
              </w:rPr>
              <w:t xml:space="preserve">Održanje ostvarenja sredstava bilanciranih iz </w:t>
            </w:r>
            <w:r w:rsidR="006B0493">
              <w:rPr>
                <w:rFonts w:ascii="Times New Roman" w:eastAsia="Calibri" w:hAnsi="Times New Roman" w:cs="Times New Roman"/>
                <w:lang w:eastAsia="hr-HR"/>
              </w:rPr>
              <w:t>državnog proračuna</w:t>
            </w:r>
          </w:p>
        </w:tc>
        <w:tc>
          <w:tcPr>
            <w:tcW w:w="2217" w:type="dxa"/>
            <w:tcBorders>
              <w:bottom w:val="single" w:sz="4" w:space="0" w:color="auto"/>
            </w:tcBorders>
            <w:shd w:val="clear" w:color="auto" w:fill="auto"/>
          </w:tcPr>
          <w:p w:rsidR="00DA335D" w:rsidRPr="002A528D" w:rsidRDefault="002A528D" w:rsidP="001E0E79">
            <w:pPr>
              <w:rPr>
                <w:rFonts w:ascii="Times New Roman" w:eastAsia="Calibri" w:hAnsi="Times New Roman" w:cs="Times New Roman"/>
                <w:color w:val="000000"/>
                <w:lang w:eastAsia="hr-HR"/>
              </w:rPr>
            </w:pPr>
            <w:r w:rsidRPr="002A528D">
              <w:rPr>
                <w:rFonts w:ascii="Times New Roman" w:hAnsi="Times New Roman" w:cs="Times New Roman"/>
              </w:rPr>
              <w:t xml:space="preserve">Sredstva za osiguranje financijskih rashoda za plaće zaposlenika iznad minimalnog standarda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2A528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2A528D" w:rsidP="001E0E79">
            <w:pPr>
              <w:spacing w:after="0"/>
              <w:jc w:val="center"/>
              <w:rPr>
                <w:rFonts w:ascii="Times New Roman" w:eastAsia="Calibri" w:hAnsi="Times New Roman" w:cs="Times New Roman"/>
              </w:rPr>
            </w:pPr>
            <w:r>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2A528D" w:rsidP="002A528D">
            <w:pPr>
              <w:spacing w:after="0"/>
              <w:jc w:val="center"/>
              <w:rPr>
                <w:rFonts w:ascii="Times New Roman" w:eastAsia="Calibri" w:hAnsi="Times New Roman" w:cs="Times New Roman"/>
              </w:rPr>
            </w:pPr>
            <w:r>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3B65D9" w:rsidP="001E0E79">
            <w:pPr>
              <w:spacing w:after="0"/>
              <w:jc w:val="center"/>
              <w:rPr>
                <w:rFonts w:ascii="Times New Roman" w:eastAsia="Calibri" w:hAnsi="Times New Roman" w:cs="Times New Roman"/>
              </w:rPr>
            </w:pPr>
            <w:r>
              <w:rPr>
                <w:rFonts w:ascii="Times New Roman" w:eastAsia="Calibri" w:hAnsi="Times New Roman" w:cs="Times New Roman"/>
              </w:rPr>
              <w:t xml:space="preserve">13,50 </w:t>
            </w:r>
            <w:r w:rsidR="002A528D">
              <w:rPr>
                <w:rFonts w:ascii="Times New Roman" w:eastAsia="Calibri" w:hAnsi="Times New Roman" w:cs="Times New Roman"/>
              </w:rPr>
              <w:t>%</w:t>
            </w:r>
          </w:p>
        </w:tc>
      </w:tr>
      <w:tr w:rsidR="00DA335D" w:rsidRPr="00CC4715" w:rsidTr="00F925BA">
        <w:trPr>
          <w:trHeight w:val="805"/>
        </w:trPr>
        <w:tc>
          <w:tcPr>
            <w:tcW w:w="1752"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Održanje ostvarenja sredstava bilanciranih iz državnog proračuna</w:t>
            </w:r>
          </w:p>
        </w:tc>
        <w:tc>
          <w:tcPr>
            <w:tcW w:w="2217" w:type="dxa"/>
            <w:tcBorders>
              <w:bottom w:val="single" w:sz="4" w:space="0" w:color="auto"/>
            </w:tcBorders>
            <w:shd w:val="clear" w:color="auto" w:fill="auto"/>
          </w:tcPr>
          <w:p w:rsidR="00DA335D" w:rsidRPr="00CC4715" w:rsidRDefault="00DA335D" w:rsidP="001E0E79">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 xml:space="preserve">Sredstva za osiguranje financijskih rashoda za plaće zaposlenika </w:t>
            </w:r>
          </w:p>
        </w:tc>
        <w:tc>
          <w:tcPr>
            <w:tcW w:w="1003" w:type="dxa"/>
            <w:tcBorders>
              <w:bottom w:val="single" w:sz="4" w:space="0" w:color="auto"/>
            </w:tcBorders>
            <w:shd w:val="clear" w:color="auto" w:fill="auto"/>
          </w:tcPr>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p>
          <w:p w:rsidR="00DA335D" w:rsidRPr="00CC4715" w:rsidRDefault="00DA335D" w:rsidP="001E0E79">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DA335D" w:rsidRPr="00CC4715" w:rsidRDefault="00DA335D" w:rsidP="001E0E79">
            <w:pPr>
              <w:spacing w:after="0"/>
              <w:jc w:val="center"/>
              <w:rPr>
                <w:rFonts w:ascii="Times New Roman" w:eastAsia="Calibri" w:hAnsi="Times New Roman" w:cs="Times New Roman"/>
              </w:rPr>
            </w:pPr>
          </w:p>
          <w:p w:rsidR="00DA335D" w:rsidRPr="00CC4715" w:rsidRDefault="00DA335D" w:rsidP="001E0E79">
            <w:pPr>
              <w:spacing w:after="0"/>
              <w:jc w:val="center"/>
              <w:rPr>
                <w:rFonts w:ascii="Times New Roman" w:eastAsia="Calibri" w:hAnsi="Times New Roman" w:cs="Times New Roman"/>
              </w:rPr>
            </w:pPr>
          </w:p>
          <w:p w:rsidR="00DA335D" w:rsidRPr="00CC4715" w:rsidRDefault="003B65D9" w:rsidP="001E0E79">
            <w:pPr>
              <w:spacing w:after="0"/>
              <w:jc w:val="center"/>
              <w:rPr>
                <w:rFonts w:ascii="Times New Roman" w:eastAsia="Calibri" w:hAnsi="Times New Roman" w:cs="Times New Roman"/>
              </w:rPr>
            </w:pPr>
            <w:r>
              <w:rPr>
                <w:rFonts w:ascii="Times New Roman" w:eastAsia="Calibri" w:hAnsi="Times New Roman" w:cs="Times New Roman"/>
              </w:rPr>
              <w:t>49,73</w:t>
            </w:r>
            <w:r w:rsidR="00CE333F" w:rsidRPr="00CC4715">
              <w:rPr>
                <w:rFonts w:ascii="Times New Roman" w:eastAsia="Calibri" w:hAnsi="Times New Roman" w:cs="Times New Roman"/>
              </w:rPr>
              <w:t xml:space="preserve"> </w:t>
            </w:r>
            <w:r w:rsidR="00DA335D" w:rsidRPr="00CC4715">
              <w:rPr>
                <w:rFonts w:ascii="Times New Roman" w:eastAsia="Calibri" w:hAnsi="Times New Roman" w:cs="Times New Roman"/>
              </w:rPr>
              <w:t>%</w:t>
            </w:r>
          </w:p>
        </w:tc>
      </w:tr>
      <w:tr w:rsidR="006B0493" w:rsidRPr="00CC4715" w:rsidTr="00F925BA">
        <w:trPr>
          <w:trHeight w:val="805"/>
        </w:trPr>
        <w:tc>
          <w:tcPr>
            <w:tcW w:w="1752" w:type="dxa"/>
            <w:tcBorders>
              <w:bottom w:val="single" w:sz="4" w:space="0" w:color="auto"/>
            </w:tcBorders>
            <w:shd w:val="clear" w:color="auto" w:fill="auto"/>
          </w:tcPr>
          <w:p w:rsidR="006B0493" w:rsidRPr="00CC4715" w:rsidRDefault="006B0493" w:rsidP="006B0493">
            <w:pPr>
              <w:spacing w:after="0"/>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Poboljšanje uvjeta rada škole i sigurnost učenika.</w:t>
            </w:r>
          </w:p>
        </w:tc>
        <w:tc>
          <w:tcPr>
            <w:tcW w:w="2217" w:type="dxa"/>
            <w:tcBorders>
              <w:bottom w:val="single" w:sz="4" w:space="0" w:color="auto"/>
            </w:tcBorders>
            <w:shd w:val="clear" w:color="auto" w:fill="auto"/>
          </w:tcPr>
          <w:p w:rsidR="006B0493" w:rsidRPr="00CC4715" w:rsidRDefault="006B0493" w:rsidP="006B0493">
            <w:pPr>
              <w:rPr>
                <w:rFonts w:ascii="Times New Roman" w:eastAsia="Calibri" w:hAnsi="Times New Roman" w:cs="Times New Roman"/>
                <w:color w:val="000000"/>
                <w:lang w:eastAsia="hr-HR"/>
              </w:rPr>
            </w:pPr>
            <w:r w:rsidRPr="00CC4715">
              <w:rPr>
                <w:rFonts w:ascii="Times New Roman" w:eastAsia="Calibri" w:hAnsi="Times New Roman" w:cs="Times New Roman"/>
                <w:color w:val="000000"/>
                <w:lang w:eastAsia="hr-HR"/>
              </w:rPr>
              <w:t>Nabava potrebne opreme za poboljšanje standarda u školi i dodatna  ulaganja na  građevinskim objektima</w:t>
            </w:r>
          </w:p>
        </w:tc>
        <w:tc>
          <w:tcPr>
            <w:tcW w:w="1003" w:type="dxa"/>
            <w:tcBorders>
              <w:bottom w:val="single" w:sz="4" w:space="0" w:color="auto"/>
            </w:tcBorders>
            <w:shd w:val="clear" w:color="auto" w:fill="auto"/>
          </w:tcPr>
          <w:p w:rsidR="006B0493" w:rsidRPr="00CC4715" w:rsidRDefault="006B0493" w:rsidP="006B0493">
            <w:pPr>
              <w:spacing w:after="0"/>
              <w:rPr>
                <w:rFonts w:ascii="Times New Roman" w:eastAsia="Calibri" w:hAnsi="Times New Roman" w:cs="Times New Roman"/>
              </w:rPr>
            </w:pPr>
          </w:p>
          <w:p w:rsidR="006B0493" w:rsidRPr="00CC4715" w:rsidRDefault="006B0493" w:rsidP="006B0493">
            <w:pPr>
              <w:spacing w:after="0"/>
              <w:rPr>
                <w:rFonts w:ascii="Times New Roman" w:eastAsia="Calibri" w:hAnsi="Times New Roman" w:cs="Times New Roman"/>
              </w:rPr>
            </w:pPr>
          </w:p>
          <w:p w:rsidR="006B0493" w:rsidRPr="00CC4715" w:rsidRDefault="006B0493" w:rsidP="006B0493">
            <w:pPr>
              <w:spacing w:after="0"/>
              <w:rPr>
                <w:rFonts w:ascii="Times New Roman" w:eastAsia="Calibri" w:hAnsi="Times New Roman" w:cs="Times New Roman"/>
              </w:rPr>
            </w:pPr>
            <w:r w:rsidRPr="00CC4715">
              <w:rPr>
                <w:rFonts w:ascii="Times New Roman" w:eastAsia="Calibri" w:hAnsi="Times New Roman" w:cs="Times New Roman"/>
              </w:rPr>
              <w:t>Postotak</w:t>
            </w:r>
          </w:p>
        </w:tc>
        <w:tc>
          <w:tcPr>
            <w:tcW w:w="1389"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217"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r w:rsidRPr="00CC4715">
              <w:rPr>
                <w:rFonts w:ascii="Times New Roman" w:eastAsia="Calibri" w:hAnsi="Times New Roman" w:cs="Times New Roman"/>
              </w:rPr>
              <w:t>100%</w:t>
            </w:r>
          </w:p>
        </w:tc>
        <w:tc>
          <w:tcPr>
            <w:tcW w:w="1348" w:type="dxa"/>
            <w:tcBorders>
              <w:bottom w:val="single" w:sz="4" w:space="0" w:color="auto"/>
            </w:tcBorders>
            <w:shd w:val="clear" w:color="auto" w:fill="auto"/>
          </w:tcPr>
          <w:p w:rsidR="006B0493" w:rsidRPr="00CC4715" w:rsidRDefault="006B0493" w:rsidP="006B0493">
            <w:pPr>
              <w:spacing w:after="0"/>
              <w:jc w:val="center"/>
              <w:rPr>
                <w:rFonts w:ascii="Times New Roman" w:eastAsia="Calibri" w:hAnsi="Times New Roman" w:cs="Times New Roman"/>
              </w:rPr>
            </w:pPr>
          </w:p>
          <w:p w:rsidR="006B0493" w:rsidRPr="00CC4715" w:rsidRDefault="006B0493" w:rsidP="006B0493">
            <w:pPr>
              <w:spacing w:after="0"/>
              <w:jc w:val="center"/>
              <w:rPr>
                <w:rFonts w:ascii="Times New Roman" w:eastAsia="Calibri" w:hAnsi="Times New Roman" w:cs="Times New Roman"/>
              </w:rPr>
            </w:pPr>
          </w:p>
          <w:p w:rsidR="006B0493" w:rsidRPr="00CC4715" w:rsidRDefault="003B65D9" w:rsidP="006B0493">
            <w:pPr>
              <w:spacing w:after="0"/>
              <w:jc w:val="center"/>
              <w:rPr>
                <w:rFonts w:ascii="Times New Roman" w:eastAsia="Calibri" w:hAnsi="Times New Roman" w:cs="Times New Roman"/>
              </w:rPr>
            </w:pPr>
            <w:r>
              <w:rPr>
                <w:rFonts w:ascii="Times New Roman" w:eastAsia="Calibri" w:hAnsi="Times New Roman" w:cs="Times New Roman"/>
              </w:rPr>
              <w:t>50,44</w:t>
            </w:r>
            <w:r w:rsidR="006B0493" w:rsidRPr="00CC4715">
              <w:rPr>
                <w:rFonts w:ascii="Times New Roman" w:eastAsia="Calibri" w:hAnsi="Times New Roman" w:cs="Times New Roman"/>
              </w:rPr>
              <w:t xml:space="preserve"> %</w:t>
            </w:r>
          </w:p>
        </w:tc>
      </w:tr>
      <w:bookmarkEnd w:id="5"/>
    </w:tbl>
    <w:p w:rsidR="00DA335D" w:rsidRPr="00CC4715" w:rsidRDefault="00DA335D" w:rsidP="001E0E79">
      <w:pPr>
        <w:rPr>
          <w:rFonts w:ascii="Times New Roman" w:eastAsia="Calibri" w:hAnsi="Times New Roman" w:cs="Times New Roman"/>
          <w:sz w:val="24"/>
          <w:szCs w:val="24"/>
        </w:rPr>
      </w:pPr>
    </w:p>
    <w:p w:rsidR="00DA335D" w:rsidRPr="001E0E79" w:rsidRDefault="003E1635" w:rsidP="001E0E79">
      <w:pPr>
        <w:jc w:val="both"/>
        <w:rPr>
          <w:rFonts w:ascii="Times New Roman" w:eastAsia="Calibri" w:hAnsi="Times New Roman" w:cs="Times New Roman"/>
          <w:b/>
          <w:sz w:val="24"/>
          <w:szCs w:val="24"/>
          <w:u w:val="single"/>
          <w:shd w:val="clear" w:color="auto" w:fill="FFFFFF"/>
        </w:rPr>
      </w:pPr>
      <w:r>
        <w:rPr>
          <w:rFonts w:ascii="Times New Roman" w:eastAsia="Calibri" w:hAnsi="Times New Roman" w:cs="Times New Roman"/>
          <w:b/>
          <w:sz w:val="24"/>
          <w:szCs w:val="24"/>
          <w:u w:val="single"/>
          <w:shd w:val="clear" w:color="auto" w:fill="FFFFFF"/>
        </w:rPr>
        <w:t>2</w:t>
      </w:r>
      <w:r w:rsidR="003B65D9">
        <w:rPr>
          <w:rFonts w:ascii="Times New Roman" w:eastAsia="Calibri" w:hAnsi="Times New Roman" w:cs="Times New Roman"/>
          <w:b/>
          <w:sz w:val="24"/>
          <w:szCs w:val="24"/>
          <w:u w:val="single"/>
          <w:shd w:val="clear" w:color="auto" w:fill="FFFFFF"/>
        </w:rPr>
        <w:t>.3</w:t>
      </w:r>
      <w:r w:rsidR="001E0E79">
        <w:rPr>
          <w:rFonts w:ascii="Times New Roman" w:eastAsia="Calibri" w:hAnsi="Times New Roman" w:cs="Times New Roman"/>
          <w:b/>
          <w:sz w:val="24"/>
          <w:szCs w:val="24"/>
          <w:u w:val="single"/>
          <w:shd w:val="clear" w:color="auto" w:fill="FFFFFF"/>
        </w:rPr>
        <w:t xml:space="preserve">. </w:t>
      </w:r>
      <w:r w:rsidR="00DA335D" w:rsidRPr="001E0E79">
        <w:rPr>
          <w:rFonts w:ascii="Times New Roman" w:eastAsia="Calibri" w:hAnsi="Times New Roman" w:cs="Times New Roman"/>
          <w:b/>
          <w:sz w:val="24"/>
          <w:szCs w:val="24"/>
          <w:u w:val="single"/>
          <w:shd w:val="clear" w:color="auto" w:fill="FFFFFF"/>
        </w:rPr>
        <w:t>PROGRAM – POMAGAČI U NASTAVI</w:t>
      </w:r>
    </w:p>
    <w:p w:rsidR="00F35580" w:rsidRPr="00CC4715" w:rsidRDefault="00DA335D" w:rsidP="001E0E79">
      <w:pPr>
        <w:pStyle w:val="Odlomakpopisa"/>
        <w:numPr>
          <w:ilvl w:val="0"/>
          <w:numId w:val="3"/>
        </w:numPr>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Opis i cilj programa   </w:t>
      </w:r>
    </w:p>
    <w:p w:rsidR="00031041" w:rsidRDefault="00DA335D" w:rsidP="00DB5E11">
      <w:pPr>
        <w:spacing w:line="360" w:lineRule="auto"/>
        <w:jc w:val="both"/>
        <w:rPr>
          <w:rFonts w:ascii="Times New Roman" w:eastAsia="Calibri" w:hAnsi="Times New Roman" w:cs="Times New Roman"/>
          <w:color w:val="000000"/>
          <w:sz w:val="24"/>
          <w:szCs w:val="24"/>
          <w:lang w:eastAsia="hr-HR"/>
        </w:rPr>
      </w:pPr>
      <w:r w:rsidRPr="00CC4715">
        <w:rPr>
          <w:rFonts w:ascii="Times New Roman" w:eastAsia="Calibri" w:hAnsi="Times New Roman" w:cs="Times New Roman"/>
          <w:b/>
          <w:sz w:val="24"/>
          <w:szCs w:val="24"/>
          <w:u w:val="single"/>
        </w:rPr>
        <w:t xml:space="preserve">                                                                                                                                                                                              </w:t>
      </w:r>
      <w:r w:rsidRPr="00CC4715">
        <w:rPr>
          <w:rFonts w:ascii="Times New Roman" w:eastAsia="Calibri" w:hAnsi="Times New Roman" w:cs="Times New Roman"/>
          <w:sz w:val="24"/>
          <w:szCs w:val="24"/>
          <w:lang w:eastAsia="hr-HR"/>
        </w:rPr>
        <w:t>U  sklopu projekta „Korak u život jednakih mogućnosti“ koji se provodi u okviru instrumenta osiguranje pomoćnika u nastavi i stručnih komunikacijskih posrednika učenicima s teškoćama u razvoju u osnovnoškolskim i srednjoškolskim odgojno-obrazovnim ustanovama.</w:t>
      </w:r>
      <w:r w:rsidRPr="00CC4715">
        <w:rPr>
          <w:rFonts w:ascii="Times New Roman" w:eastAsia="Calibri" w:hAnsi="Times New Roman" w:cs="Times New Roman"/>
          <w:b/>
          <w:sz w:val="24"/>
          <w:szCs w:val="24"/>
          <w:shd w:val="clear" w:color="auto" w:fill="FFFFFF"/>
        </w:rPr>
        <w:t xml:space="preserve"> </w:t>
      </w:r>
      <w:r w:rsidRPr="00CC4715">
        <w:rPr>
          <w:rFonts w:ascii="Times New Roman" w:eastAsia="Calibri" w:hAnsi="Times New Roman" w:cs="Times New Roman"/>
          <w:color w:val="000000"/>
          <w:sz w:val="24"/>
          <w:szCs w:val="24"/>
          <w:lang w:eastAsia="hr-HR"/>
        </w:rPr>
        <w:t>Cilj programa je savladavanje nastavnih</w:t>
      </w:r>
      <w:r w:rsidR="00031041">
        <w:rPr>
          <w:rFonts w:ascii="Times New Roman" w:eastAsia="Calibri" w:hAnsi="Times New Roman" w:cs="Times New Roman"/>
          <w:color w:val="000000"/>
          <w:sz w:val="24"/>
          <w:szCs w:val="24"/>
          <w:lang w:eastAsia="hr-HR"/>
        </w:rPr>
        <w:t xml:space="preserve"> planova i programa/kurikuluma </w:t>
      </w:r>
      <w:r w:rsidRPr="00CC4715">
        <w:rPr>
          <w:rFonts w:ascii="Times New Roman" w:eastAsia="Calibri" w:hAnsi="Times New Roman" w:cs="Times New Roman"/>
          <w:color w:val="000000"/>
          <w:sz w:val="24"/>
          <w:szCs w:val="24"/>
          <w:lang w:eastAsia="hr-HR"/>
        </w:rPr>
        <w:t>škole za učenike koji imaju teškoće koje ih sprečavaju u samostalnom funkcioniranju te trebaju stalnu ili povremenu potporu.</w:t>
      </w:r>
    </w:p>
    <w:p w:rsidR="004644D8" w:rsidRPr="0010797F" w:rsidRDefault="004644D8" w:rsidP="00DB5E11">
      <w:pPr>
        <w:spacing w:line="360" w:lineRule="auto"/>
        <w:jc w:val="both"/>
        <w:rPr>
          <w:rFonts w:ascii="Times New Roman" w:eastAsia="Calibri" w:hAnsi="Times New Roman" w:cs="Times New Roman"/>
          <w:color w:val="000000"/>
          <w:sz w:val="24"/>
          <w:szCs w:val="24"/>
          <w:lang w:eastAsia="hr-HR"/>
        </w:rPr>
      </w:pPr>
    </w:p>
    <w:p w:rsidR="00F35580" w:rsidRPr="00CC4715" w:rsidRDefault="00DA335D" w:rsidP="001E0E79">
      <w:pPr>
        <w:pStyle w:val="Odlomakpopisa"/>
        <w:numPr>
          <w:ilvl w:val="0"/>
          <w:numId w:val="3"/>
        </w:numPr>
        <w:rPr>
          <w:rFonts w:ascii="Times New Roman" w:eastAsia="Calibri" w:hAnsi="Times New Roman" w:cs="Times New Roman"/>
          <w:sz w:val="24"/>
          <w:szCs w:val="24"/>
        </w:rPr>
      </w:pPr>
      <w:r w:rsidRPr="00CC4715">
        <w:rPr>
          <w:rFonts w:ascii="Times New Roman" w:eastAsia="Calibri" w:hAnsi="Times New Roman" w:cs="Times New Roman"/>
          <w:b/>
          <w:sz w:val="24"/>
          <w:szCs w:val="24"/>
          <w:u w:val="single"/>
        </w:rPr>
        <w:lastRenderedPageBreak/>
        <w:t>Realizirana sredstva</w:t>
      </w:r>
      <w:r w:rsidRPr="00CC4715">
        <w:rPr>
          <w:rFonts w:ascii="Times New Roman" w:eastAsia="Calibri" w:hAnsi="Times New Roman" w:cs="Times New Roman"/>
          <w:sz w:val="24"/>
          <w:szCs w:val="24"/>
        </w:rPr>
        <w:t xml:space="preserve">: </w:t>
      </w:r>
    </w:p>
    <w:p w:rsidR="00DA335D" w:rsidRPr="00CC4715" w:rsidRDefault="00DA335D" w:rsidP="001E0E79">
      <w:pPr>
        <w:jc w:val="both"/>
        <w:rPr>
          <w:rFonts w:ascii="Times New Roman" w:eastAsia="Calibri" w:hAnsi="Times New Roman" w:cs="Times New Roman"/>
          <w:sz w:val="24"/>
          <w:szCs w:val="24"/>
        </w:rPr>
      </w:pPr>
      <w:r w:rsidRPr="00CC4715">
        <w:rPr>
          <w:rFonts w:ascii="Times New Roman" w:eastAsia="Calibri" w:hAnsi="Times New Roman" w:cs="Times New Roman"/>
          <w:sz w:val="24"/>
          <w:szCs w:val="24"/>
        </w:rPr>
        <w:t xml:space="preserve">                                                                                                                                                                           Proračunom za 202</w:t>
      </w:r>
      <w:r w:rsidR="003B65D9">
        <w:rPr>
          <w:rFonts w:ascii="Times New Roman" w:eastAsia="Calibri" w:hAnsi="Times New Roman" w:cs="Times New Roman"/>
          <w:sz w:val="24"/>
          <w:szCs w:val="24"/>
        </w:rPr>
        <w:t>6</w:t>
      </w:r>
      <w:r w:rsidR="00F35580" w:rsidRPr="00CC4715">
        <w:rPr>
          <w:rFonts w:ascii="Times New Roman" w:eastAsia="Calibri" w:hAnsi="Times New Roman" w:cs="Times New Roman"/>
          <w:sz w:val="24"/>
          <w:szCs w:val="24"/>
        </w:rPr>
        <w:t>.</w:t>
      </w:r>
      <w:r w:rsidRPr="00CC4715">
        <w:rPr>
          <w:rFonts w:ascii="Times New Roman" w:eastAsia="Calibri" w:hAnsi="Times New Roman" w:cs="Times New Roman"/>
          <w:sz w:val="24"/>
          <w:szCs w:val="24"/>
        </w:rPr>
        <w:t xml:space="preserve"> godinu za potrebe provođenja aktivnosti sadržanih u ovom Programu planirano je </w:t>
      </w:r>
      <w:r w:rsidR="003B65D9">
        <w:rPr>
          <w:rFonts w:ascii="Times New Roman" w:eastAsia="Calibri" w:hAnsi="Times New Roman" w:cs="Times New Roman"/>
          <w:sz w:val="24"/>
          <w:szCs w:val="24"/>
        </w:rPr>
        <w:t>142.000</w:t>
      </w:r>
      <w:r w:rsidR="00F86966" w:rsidRPr="00CC4715">
        <w:rPr>
          <w:rFonts w:ascii="Times New Roman" w:eastAsia="Calibri" w:hAnsi="Times New Roman" w:cs="Times New Roman"/>
          <w:sz w:val="24"/>
          <w:szCs w:val="24"/>
        </w:rPr>
        <w:t>,00</w:t>
      </w:r>
      <w:r w:rsidRPr="00CC4715">
        <w:rPr>
          <w:rFonts w:ascii="Times New Roman" w:eastAsia="Calibri" w:hAnsi="Times New Roman" w:cs="Times New Roman"/>
          <w:sz w:val="24"/>
          <w:szCs w:val="24"/>
        </w:rPr>
        <w:t xml:space="preserve"> </w:t>
      </w:r>
      <w:r w:rsidR="00111C27" w:rsidRPr="00CC4715">
        <w:rPr>
          <w:rFonts w:ascii="Times New Roman" w:eastAsia="Calibri" w:hAnsi="Times New Roman" w:cs="Times New Roman"/>
          <w:sz w:val="24"/>
          <w:szCs w:val="24"/>
        </w:rPr>
        <w:t>eura</w:t>
      </w:r>
      <w:r w:rsidRPr="00CC4715">
        <w:rPr>
          <w:rFonts w:ascii="Times New Roman" w:eastAsia="Calibri" w:hAnsi="Times New Roman" w:cs="Times New Roman"/>
          <w:sz w:val="24"/>
          <w:szCs w:val="24"/>
        </w:rPr>
        <w:t xml:space="preserve"> od čega je utrošeno </w:t>
      </w:r>
      <w:r w:rsidR="003B65D9">
        <w:rPr>
          <w:rFonts w:ascii="Times New Roman" w:eastAsia="Calibri" w:hAnsi="Times New Roman" w:cs="Times New Roman"/>
          <w:sz w:val="24"/>
          <w:szCs w:val="24"/>
        </w:rPr>
        <w:t>63.104,68</w:t>
      </w:r>
      <w:r w:rsidR="00111C27" w:rsidRPr="00CC4715">
        <w:rPr>
          <w:rFonts w:ascii="Times New Roman" w:eastAsia="Times New Roman" w:hAnsi="Times New Roman" w:cs="Times New Roman"/>
          <w:sz w:val="24"/>
          <w:szCs w:val="24"/>
          <w:lang w:eastAsia="hr-HR"/>
        </w:rPr>
        <w:t xml:space="preserve"> eura </w:t>
      </w:r>
      <w:r w:rsidRPr="00CC4715">
        <w:rPr>
          <w:rFonts w:ascii="Times New Roman" w:eastAsia="Calibri" w:hAnsi="Times New Roman" w:cs="Times New Roman"/>
          <w:sz w:val="24"/>
          <w:szCs w:val="24"/>
        </w:rPr>
        <w:t xml:space="preserve">ili </w:t>
      </w:r>
      <w:r w:rsidR="003B65D9">
        <w:rPr>
          <w:rFonts w:ascii="Times New Roman" w:eastAsia="Calibri" w:hAnsi="Times New Roman" w:cs="Times New Roman"/>
          <w:sz w:val="24"/>
          <w:szCs w:val="24"/>
        </w:rPr>
        <w:t>44,44</w:t>
      </w:r>
      <w:r w:rsidR="00F35580" w:rsidRPr="00CC4715">
        <w:rPr>
          <w:rFonts w:ascii="Times New Roman" w:eastAsia="Calibri" w:hAnsi="Times New Roman" w:cs="Times New Roman"/>
          <w:sz w:val="24"/>
          <w:szCs w:val="24"/>
        </w:rPr>
        <w:t xml:space="preserve"> </w:t>
      </w:r>
      <w:r w:rsidRPr="00CC4715">
        <w:rPr>
          <w:rFonts w:ascii="Times New Roman" w:eastAsia="Calibri" w:hAnsi="Times New Roman" w:cs="Times New Roman"/>
          <w:sz w:val="24"/>
          <w:szCs w:val="24"/>
        </w:rPr>
        <w:t>%, godišnjeg plana.</w:t>
      </w:r>
    </w:p>
    <w:p w:rsidR="00DA335D" w:rsidRPr="00CC4715" w:rsidRDefault="00DA335D" w:rsidP="001E0E79">
      <w:pPr>
        <w:spacing w:after="160"/>
        <w:rPr>
          <w:rFonts w:ascii="Times New Roman" w:eastAsia="Calibri" w:hAnsi="Times New Roman" w:cs="Times New Roman"/>
          <w:b/>
          <w:sz w:val="24"/>
          <w:szCs w:val="24"/>
          <w:u w:val="single"/>
        </w:rPr>
      </w:pPr>
      <w:r w:rsidRPr="00CC4715">
        <w:rPr>
          <w:rFonts w:ascii="Times New Roman" w:eastAsia="Calibri" w:hAnsi="Times New Roman" w:cs="Times New Roman"/>
          <w:b/>
          <w:sz w:val="24"/>
          <w:szCs w:val="24"/>
          <w:u w:val="single"/>
        </w:rPr>
        <w:t xml:space="preserve">Ostvarenje rezultata: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9"/>
        <w:gridCol w:w="1204"/>
        <w:gridCol w:w="1389"/>
        <w:gridCol w:w="1217"/>
        <w:gridCol w:w="1288"/>
      </w:tblGrid>
      <w:tr w:rsidR="00DA335D" w:rsidRPr="00CC4715" w:rsidTr="00F925BA">
        <w:trPr>
          <w:trHeight w:val="805"/>
        </w:trPr>
        <w:tc>
          <w:tcPr>
            <w:tcW w:w="1980"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Pokazatelj rezultata</w:t>
            </w:r>
          </w:p>
        </w:tc>
        <w:tc>
          <w:tcPr>
            <w:tcW w:w="1989"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Definicija pokazatelja</w:t>
            </w:r>
          </w:p>
        </w:tc>
        <w:tc>
          <w:tcPr>
            <w:tcW w:w="1204"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Jedinica</w:t>
            </w:r>
          </w:p>
        </w:tc>
        <w:tc>
          <w:tcPr>
            <w:tcW w:w="1389"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Polazna vrijednost 202</w:t>
            </w:r>
            <w:r w:rsidR="00EB6028">
              <w:rPr>
                <w:rFonts w:ascii="Times New Roman" w:eastAsia="Calibri" w:hAnsi="Times New Roman" w:cs="Times New Roman"/>
                <w:b/>
                <w:bCs/>
                <w:szCs w:val="24"/>
              </w:rPr>
              <w:t>5</w:t>
            </w:r>
            <w:r w:rsidR="00F35580" w:rsidRPr="00CC4715">
              <w:rPr>
                <w:rFonts w:ascii="Times New Roman" w:eastAsia="Calibri" w:hAnsi="Times New Roman" w:cs="Times New Roman"/>
                <w:b/>
                <w:bCs/>
                <w:szCs w:val="24"/>
              </w:rPr>
              <w:t>.</w:t>
            </w:r>
          </w:p>
        </w:tc>
        <w:tc>
          <w:tcPr>
            <w:tcW w:w="1217"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Ciljana vrijednost 202</w:t>
            </w:r>
            <w:r w:rsidR="00EB6028">
              <w:rPr>
                <w:rFonts w:ascii="Times New Roman" w:eastAsia="Calibri" w:hAnsi="Times New Roman" w:cs="Times New Roman"/>
                <w:b/>
                <w:bCs/>
                <w:szCs w:val="24"/>
              </w:rPr>
              <w:t>6</w:t>
            </w:r>
            <w:r w:rsidR="00F35580" w:rsidRPr="00CC4715">
              <w:rPr>
                <w:rFonts w:ascii="Times New Roman" w:eastAsia="Calibri" w:hAnsi="Times New Roman" w:cs="Times New Roman"/>
                <w:b/>
                <w:bCs/>
                <w:szCs w:val="24"/>
              </w:rPr>
              <w:t>.</w:t>
            </w:r>
          </w:p>
        </w:tc>
        <w:tc>
          <w:tcPr>
            <w:tcW w:w="1288" w:type="dxa"/>
            <w:shd w:val="clear" w:color="auto" w:fill="auto"/>
          </w:tcPr>
          <w:p w:rsidR="00DA335D" w:rsidRPr="00CC4715" w:rsidRDefault="00DA335D" w:rsidP="001E0E79">
            <w:pPr>
              <w:spacing w:after="0"/>
              <w:rPr>
                <w:rFonts w:ascii="Times New Roman" w:eastAsia="Calibri" w:hAnsi="Times New Roman" w:cs="Times New Roman"/>
                <w:b/>
                <w:bCs/>
                <w:szCs w:val="24"/>
              </w:rPr>
            </w:pPr>
            <w:r w:rsidRPr="00CC4715">
              <w:rPr>
                <w:rFonts w:ascii="Times New Roman" w:eastAsia="Calibri" w:hAnsi="Times New Roman" w:cs="Times New Roman"/>
                <w:b/>
                <w:bCs/>
                <w:szCs w:val="24"/>
              </w:rPr>
              <w:t>Ostvarena vrijednost I-</w:t>
            </w:r>
            <w:r w:rsidR="00EB6028">
              <w:rPr>
                <w:rFonts w:ascii="Times New Roman" w:eastAsia="Calibri" w:hAnsi="Times New Roman" w:cs="Times New Roman"/>
                <w:b/>
                <w:bCs/>
                <w:szCs w:val="24"/>
              </w:rPr>
              <w:t>VI</w:t>
            </w:r>
            <w:r w:rsidRPr="00CC4715">
              <w:rPr>
                <w:rFonts w:ascii="Times New Roman" w:eastAsia="Calibri" w:hAnsi="Times New Roman" w:cs="Times New Roman"/>
                <w:b/>
                <w:bCs/>
                <w:szCs w:val="24"/>
              </w:rPr>
              <w:t xml:space="preserve"> 202</w:t>
            </w:r>
            <w:r w:rsidR="00EB6028">
              <w:rPr>
                <w:rFonts w:ascii="Times New Roman" w:eastAsia="Calibri" w:hAnsi="Times New Roman" w:cs="Times New Roman"/>
                <w:b/>
                <w:bCs/>
                <w:szCs w:val="24"/>
              </w:rPr>
              <w:t>6</w:t>
            </w:r>
            <w:r w:rsidR="00F35580" w:rsidRPr="00CC4715">
              <w:rPr>
                <w:rFonts w:ascii="Times New Roman" w:eastAsia="Calibri" w:hAnsi="Times New Roman" w:cs="Times New Roman"/>
                <w:b/>
                <w:bCs/>
                <w:szCs w:val="24"/>
              </w:rPr>
              <w:t>.</w:t>
            </w:r>
          </w:p>
        </w:tc>
      </w:tr>
      <w:tr w:rsidR="00DA335D" w:rsidRPr="00CC4715" w:rsidTr="00F925BA">
        <w:trPr>
          <w:trHeight w:val="805"/>
        </w:trPr>
        <w:tc>
          <w:tcPr>
            <w:tcW w:w="1980" w:type="dxa"/>
            <w:shd w:val="clear" w:color="auto" w:fill="auto"/>
          </w:tcPr>
          <w:p w:rsidR="00DA335D" w:rsidRPr="00CC4715" w:rsidRDefault="00DA335D" w:rsidP="001E0E79">
            <w:pPr>
              <w:spacing w:after="0"/>
              <w:rPr>
                <w:rFonts w:ascii="Times New Roman" w:eastAsia="Calibri" w:hAnsi="Times New Roman" w:cs="Times New Roman"/>
                <w:szCs w:val="24"/>
              </w:rPr>
            </w:pPr>
            <w:r w:rsidRPr="00CC4715">
              <w:rPr>
                <w:rFonts w:ascii="Times New Roman" w:eastAsia="Calibri" w:hAnsi="Times New Roman" w:cs="Times New Roman"/>
                <w:color w:val="000000"/>
                <w:szCs w:val="24"/>
                <w:lang w:eastAsia="hr-HR"/>
              </w:rPr>
              <w:t>Održanje broja učenika s posebnim odgojno-obrazovnim potrebama kojima se osigurava potpora pomoćnika u nastavi.</w:t>
            </w:r>
          </w:p>
        </w:tc>
        <w:tc>
          <w:tcPr>
            <w:tcW w:w="1989" w:type="dxa"/>
            <w:shd w:val="clear" w:color="auto" w:fill="auto"/>
          </w:tcPr>
          <w:p w:rsidR="00DA335D" w:rsidRPr="00CC4715" w:rsidRDefault="00DA335D" w:rsidP="001E0E79">
            <w:pPr>
              <w:rPr>
                <w:rFonts w:ascii="Times New Roman" w:eastAsia="Calibri" w:hAnsi="Times New Roman" w:cs="Times New Roman"/>
                <w:color w:val="000000"/>
                <w:szCs w:val="24"/>
                <w:lang w:eastAsia="hr-HR"/>
              </w:rPr>
            </w:pPr>
            <w:r w:rsidRPr="00CC4715">
              <w:rPr>
                <w:rFonts w:ascii="Times New Roman" w:eastAsia="Calibri" w:hAnsi="Times New Roman" w:cs="Times New Roman"/>
                <w:color w:val="000000"/>
                <w:szCs w:val="24"/>
                <w:lang w:eastAsia="hr-HR"/>
              </w:rPr>
              <w:t>Pomoć i podrška učenicima s teškoćama u razvoju u praćenju nastavnog procesa</w:t>
            </w:r>
          </w:p>
          <w:p w:rsidR="00DA335D" w:rsidRPr="00CC4715" w:rsidRDefault="00DA335D" w:rsidP="001E0E79">
            <w:pPr>
              <w:spacing w:after="0"/>
              <w:rPr>
                <w:rFonts w:ascii="Times New Roman" w:eastAsia="Calibri" w:hAnsi="Times New Roman" w:cs="Times New Roman"/>
                <w:szCs w:val="24"/>
              </w:rPr>
            </w:pPr>
          </w:p>
        </w:tc>
        <w:tc>
          <w:tcPr>
            <w:tcW w:w="1204" w:type="dxa"/>
            <w:shd w:val="clear" w:color="auto" w:fill="auto"/>
          </w:tcPr>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p>
          <w:p w:rsidR="00DA335D" w:rsidRPr="00CC4715" w:rsidRDefault="00DA335D" w:rsidP="001E0E79">
            <w:pPr>
              <w:spacing w:after="0"/>
              <w:rPr>
                <w:rFonts w:ascii="Times New Roman" w:eastAsia="Calibri" w:hAnsi="Times New Roman" w:cs="Times New Roman"/>
                <w:szCs w:val="24"/>
              </w:rPr>
            </w:pPr>
            <w:r w:rsidRPr="00CC4715">
              <w:rPr>
                <w:rFonts w:ascii="Times New Roman" w:eastAsia="Calibri" w:hAnsi="Times New Roman" w:cs="Times New Roman"/>
                <w:szCs w:val="24"/>
              </w:rPr>
              <w:t>Postotak</w:t>
            </w:r>
          </w:p>
        </w:tc>
        <w:tc>
          <w:tcPr>
            <w:tcW w:w="1389"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r w:rsidRPr="00CC4715">
              <w:rPr>
                <w:rFonts w:ascii="Times New Roman" w:eastAsia="Calibri" w:hAnsi="Times New Roman" w:cs="Times New Roman"/>
                <w:szCs w:val="24"/>
              </w:rPr>
              <w:t>100%</w:t>
            </w:r>
          </w:p>
        </w:tc>
        <w:tc>
          <w:tcPr>
            <w:tcW w:w="1217"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r w:rsidRPr="00CC4715">
              <w:rPr>
                <w:rFonts w:ascii="Times New Roman" w:eastAsia="Calibri" w:hAnsi="Times New Roman" w:cs="Times New Roman"/>
                <w:szCs w:val="24"/>
              </w:rPr>
              <w:t>100%</w:t>
            </w:r>
          </w:p>
        </w:tc>
        <w:tc>
          <w:tcPr>
            <w:tcW w:w="1288" w:type="dxa"/>
            <w:shd w:val="clear" w:color="auto" w:fill="auto"/>
          </w:tcPr>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DA335D" w:rsidP="001E0E79">
            <w:pPr>
              <w:spacing w:after="0"/>
              <w:jc w:val="center"/>
              <w:rPr>
                <w:rFonts w:ascii="Times New Roman" w:eastAsia="Calibri" w:hAnsi="Times New Roman" w:cs="Times New Roman"/>
                <w:szCs w:val="24"/>
              </w:rPr>
            </w:pPr>
          </w:p>
          <w:p w:rsidR="00DA335D" w:rsidRPr="00CC4715" w:rsidRDefault="003B65D9"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44,44</w:t>
            </w:r>
            <w:r w:rsidR="00F35580" w:rsidRPr="00CC4715">
              <w:rPr>
                <w:rFonts w:ascii="Times New Roman" w:eastAsia="Calibri" w:hAnsi="Times New Roman" w:cs="Times New Roman"/>
                <w:szCs w:val="24"/>
              </w:rPr>
              <w:t xml:space="preserve"> </w:t>
            </w:r>
            <w:r w:rsidR="00FD52FC" w:rsidRPr="00CC4715">
              <w:rPr>
                <w:rFonts w:ascii="Times New Roman" w:eastAsia="Calibri" w:hAnsi="Times New Roman" w:cs="Times New Roman"/>
                <w:szCs w:val="24"/>
              </w:rPr>
              <w:t>%</w:t>
            </w:r>
          </w:p>
        </w:tc>
      </w:tr>
      <w:tr w:rsidR="00DA335D" w:rsidRPr="00CC4715" w:rsidTr="00F925BA">
        <w:trPr>
          <w:trHeight w:val="805"/>
        </w:trPr>
        <w:tc>
          <w:tcPr>
            <w:tcW w:w="1980" w:type="dxa"/>
            <w:shd w:val="clear" w:color="auto" w:fill="auto"/>
          </w:tcPr>
          <w:p w:rsidR="00DA335D" w:rsidRPr="00FD4528" w:rsidRDefault="00DA335D" w:rsidP="001E0E79">
            <w:pPr>
              <w:spacing w:after="0"/>
              <w:rPr>
                <w:rFonts w:ascii="Times New Roman" w:eastAsia="Calibri" w:hAnsi="Times New Roman" w:cs="Times New Roman"/>
                <w:szCs w:val="24"/>
                <w:lang w:eastAsia="hr-HR"/>
              </w:rPr>
            </w:pPr>
            <w:r w:rsidRPr="00FD4528">
              <w:rPr>
                <w:rFonts w:ascii="Times New Roman" w:eastAsia="Calibri" w:hAnsi="Times New Roman" w:cs="Times New Roman"/>
                <w:szCs w:val="24"/>
                <w:lang w:eastAsia="hr-HR"/>
              </w:rPr>
              <w:t>Broj pomoćnika u nastavi</w:t>
            </w:r>
          </w:p>
        </w:tc>
        <w:tc>
          <w:tcPr>
            <w:tcW w:w="1989" w:type="dxa"/>
            <w:shd w:val="clear" w:color="auto" w:fill="auto"/>
          </w:tcPr>
          <w:p w:rsidR="00DA335D" w:rsidRPr="00FD4528" w:rsidRDefault="00DA335D" w:rsidP="001E0E79">
            <w:pPr>
              <w:rPr>
                <w:rFonts w:ascii="Times New Roman" w:eastAsia="Calibri" w:hAnsi="Times New Roman" w:cs="Times New Roman"/>
                <w:szCs w:val="24"/>
                <w:lang w:eastAsia="hr-HR"/>
              </w:rPr>
            </w:pPr>
            <w:r w:rsidRPr="00FD4528">
              <w:rPr>
                <w:rFonts w:ascii="Times New Roman" w:eastAsia="Calibri" w:hAnsi="Times New Roman" w:cs="Times New Roman"/>
                <w:szCs w:val="24"/>
                <w:lang w:eastAsia="hr-HR"/>
              </w:rPr>
              <w:t xml:space="preserve">Plaće </w:t>
            </w:r>
            <w:bookmarkStart w:id="6" w:name="_GoBack"/>
            <w:bookmarkEnd w:id="6"/>
            <w:r w:rsidRPr="00FD4528">
              <w:rPr>
                <w:rFonts w:ascii="Times New Roman" w:eastAsia="Calibri" w:hAnsi="Times New Roman" w:cs="Times New Roman"/>
                <w:szCs w:val="24"/>
                <w:lang w:eastAsia="hr-HR"/>
              </w:rPr>
              <w:t>za rad pomoćnika u nastavi</w:t>
            </w:r>
          </w:p>
        </w:tc>
        <w:tc>
          <w:tcPr>
            <w:tcW w:w="1204" w:type="dxa"/>
            <w:shd w:val="clear" w:color="auto" w:fill="auto"/>
          </w:tcPr>
          <w:p w:rsidR="00DA335D" w:rsidRPr="00FD4528" w:rsidRDefault="00DA335D" w:rsidP="001E0E79">
            <w:pPr>
              <w:spacing w:after="0"/>
              <w:rPr>
                <w:rFonts w:ascii="Times New Roman" w:eastAsia="Calibri" w:hAnsi="Times New Roman" w:cs="Times New Roman"/>
                <w:szCs w:val="24"/>
              </w:rPr>
            </w:pPr>
            <w:r w:rsidRPr="00FD4528">
              <w:rPr>
                <w:rFonts w:ascii="Times New Roman" w:eastAsia="Calibri" w:hAnsi="Times New Roman" w:cs="Times New Roman"/>
                <w:szCs w:val="24"/>
              </w:rPr>
              <w:t>Broj pomoćnika</w:t>
            </w:r>
          </w:p>
        </w:tc>
        <w:tc>
          <w:tcPr>
            <w:tcW w:w="1389"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DA335D" w:rsidRPr="00FD4528" w:rsidRDefault="00EB6028"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10</w:t>
            </w:r>
          </w:p>
        </w:tc>
        <w:tc>
          <w:tcPr>
            <w:tcW w:w="1217"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DA335D" w:rsidRPr="00FD4528" w:rsidRDefault="000445E2" w:rsidP="001E0E79">
            <w:pPr>
              <w:spacing w:after="0"/>
              <w:jc w:val="center"/>
              <w:rPr>
                <w:rFonts w:ascii="Times New Roman" w:eastAsia="Calibri" w:hAnsi="Times New Roman" w:cs="Times New Roman"/>
                <w:szCs w:val="24"/>
              </w:rPr>
            </w:pPr>
            <w:r>
              <w:rPr>
                <w:rFonts w:ascii="Times New Roman" w:eastAsia="Calibri" w:hAnsi="Times New Roman" w:cs="Times New Roman"/>
                <w:szCs w:val="24"/>
              </w:rPr>
              <w:t>10</w:t>
            </w:r>
          </w:p>
        </w:tc>
        <w:tc>
          <w:tcPr>
            <w:tcW w:w="1288" w:type="dxa"/>
            <w:shd w:val="clear" w:color="auto" w:fill="auto"/>
          </w:tcPr>
          <w:p w:rsidR="00DA335D" w:rsidRPr="00FD4528" w:rsidRDefault="00DA335D" w:rsidP="001E0E79">
            <w:pPr>
              <w:spacing w:after="0"/>
              <w:jc w:val="center"/>
              <w:rPr>
                <w:rFonts w:ascii="Times New Roman" w:eastAsia="Calibri" w:hAnsi="Times New Roman" w:cs="Times New Roman"/>
                <w:szCs w:val="24"/>
              </w:rPr>
            </w:pPr>
          </w:p>
          <w:p w:rsidR="00124D04" w:rsidRPr="00FD4528" w:rsidRDefault="00FD4528" w:rsidP="001E0E79">
            <w:pPr>
              <w:spacing w:after="0"/>
              <w:jc w:val="center"/>
              <w:rPr>
                <w:rFonts w:ascii="Times New Roman" w:eastAsia="Calibri" w:hAnsi="Times New Roman" w:cs="Times New Roman"/>
                <w:szCs w:val="24"/>
              </w:rPr>
            </w:pPr>
            <w:r w:rsidRPr="00FD4528">
              <w:rPr>
                <w:rFonts w:ascii="Times New Roman" w:eastAsia="Calibri" w:hAnsi="Times New Roman" w:cs="Times New Roman"/>
                <w:szCs w:val="24"/>
              </w:rPr>
              <w:t>10</w:t>
            </w:r>
          </w:p>
        </w:tc>
      </w:tr>
    </w:tbl>
    <w:p w:rsidR="00DA335D" w:rsidRPr="00CC4715" w:rsidRDefault="00DA335D" w:rsidP="00DB5E11">
      <w:pPr>
        <w:spacing w:line="360" w:lineRule="auto"/>
        <w:jc w:val="both"/>
        <w:rPr>
          <w:rFonts w:ascii="Times New Roman" w:hAnsi="Times New Roman" w:cs="Times New Roman"/>
          <w:szCs w:val="24"/>
        </w:rPr>
      </w:pPr>
    </w:p>
    <w:p w:rsidR="001A2B1D" w:rsidRPr="00CC4715" w:rsidRDefault="001A2B1D" w:rsidP="00DB5E11">
      <w:pPr>
        <w:spacing w:line="360" w:lineRule="auto"/>
        <w:jc w:val="both"/>
        <w:rPr>
          <w:rFonts w:ascii="Times New Roman" w:hAnsi="Times New Roman" w:cs="Times New Roman"/>
          <w:szCs w:val="24"/>
        </w:rPr>
      </w:pPr>
    </w:p>
    <w:p w:rsidR="007E03A2" w:rsidRDefault="007E03A2" w:rsidP="00CC4715">
      <w:pPr>
        <w:spacing w:line="360" w:lineRule="auto"/>
        <w:jc w:val="both"/>
        <w:rPr>
          <w:rFonts w:ascii="Times New Roman" w:hAnsi="Times New Roman" w:cs="Times New Roman"/>
          <w:sz w:val="24"/>
          <w:szCs w:val="24"/>
        </w:rPr>
      </w:pPr>
    </w:p>
    <w:p w:rsidR="00B47C23" w:rsidRDefault="00B47C23" w:rsidP="00B47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Virovitici, </w:t>
      </w:r>
      <w:r w:rsidR="0073475C">
        <w:rPr>
          <w:rFonts w:ascii="Times New Roman" w:hAnsi="Times New Roman" w:cs="Times New Roman"/>
          <w:sz w:val="24"/>
          <w:szCs w:val="24"/>
        </w:rPr>
        <w:t>17. lipnja</w:t>
      </w:r>
      <w:r>
        <w:rPr>
          <w:rFonts w:ascii="Times New Roman" w:hAnsi="Times New Roman" w:cs="Times New Roman"/>
          <w:sz w:val="24"/>
          <w:szCs w:val="24"/>
        </w:rPr>
        <w:t xml:space="preserve">. </w:t>
      </w:r>
      <w:r w:rsidR="00282E2B">
        <w:rPr>
          <w:rFonts w:ascii="Times New Roman" w:hAnsi="Times New Roman" w:cs="Times New Roman"/>
          <w:sz w:val="24"/>
          <w:szCs w:val="24"/>
        </w:rPr>
        <w:t xml:space="preserve">2026. </w:t>
      </w:r>
      <w:r>
        <w:rPr>
          <w:rFonts w:ascii="Times New Roman" w:hAnsi="Times New Roman" w:cs="Times New Roman"/>
          <w:sz w:val="24"/>
          <w:szCs w:val="24"/>
        </w:rPr>
        <w:t xml:space="preserve">god. </w:t>
      </w:r>
    </w:p>
    <w:p w:rsidR="00B47C23" w:rsidRPr="0075631F" w:rsidRDefault="00B47C23" w:rsidP="00B47C23">
      <w:pPr>
        <w:spacing w:after="0" w:line="360" w:lineRule="auto"/>
        <w:jc w:val="both"/>
        <w:rPr>
          <w:rFonts w:ascii="Times New Roman" w:hAnsi="Times New Roman" w:cs="Times New Roman"/>
          <w:sz w:val="24"/>
          <w:szCs w:val="24"/>
        </w:rPr>
      </w:pPr>
      <w:r w:rsidRPr="00CC4715">
        <w:rPr>
          <w:rFonts w:ascii="Times New Roman" w:hAnsi="Times New Roman" w:cs="Times New Roman"/>
          <w:bCs/>
          <w:sz w:val="24"/>
          <w:szCs w:val="24"/>
        </w:rPr>
        <w:t>K</w:t>
      </w:r>
      <w:r>
        <w:rPr>
          <w:rFonts w:ascii="Times New Roman" w:hAnsi="Times New Roman" w:cs="Times New Roman"/>
          <w:bCs/>
          <w:sz w:val="24"/>
          <w:szCs w:val="24"/>
        </w:rPr>
        <w:t>lasa</w:t>
      </w:r>
      <w:r w:rsidRPr="00CC4715">
        <w:rPr>
          <w:rFonts w:ascii="Times New Roman" w:hAnsi="Times New Roman" w:cs="Times New Roman"/>
          <w:bCs/>
          <w:sz w:val="24"/>
          <w:szCs w:val="24"/>
        </w:rPr>
        <w:t>:</w:t>
      </w:r>
      <w:r w:rsidR="0075631F" w:rsidRPr="0075631F">
        <w:rPr>
          <w:rFonts w:ascii="Arial" w:hAnsi="Arial" w:cs="Arial"/>
          <w:color w:val="000000"/>
          <w:shd w:val="clear" w:color="auto" w:fill="FFFFFF"/>
        </w:rPr>
        <w:t xml:space="preserve"> </w:t>
      </w:r>
      <w:r w:rsidR="0073475C">
        <w:rPr>
          <w:rFonts w:ascii="Times New Roman" w:hAnsi="Times New Roman" w:cs="Times New Roman"/>
          <w:sz w:val="24"/>
          <w:szCs w:val="24"/>
          <w:shd w:val="clear" w:color="auto" w:fill="FFFFFF"/>
        </w:rPr>
        <w:t>400-04/26-01/5</w:t>
      </w:r>
    </w:p>
    <w:p w:rsidR="00B47C23" w:rsidRDefault="00B47C23" w:rsidP="00B47C23">
      <w:pPr>
        <w:autoSpaceDE w:val="0"/>
        <w:autoSpaceDN w:val="0"/>
        <w:adjustRightInd w:val="0"/>
        <w:spacing w:after="0" w:line="240" w:lineRule="auto"/>
        <w:rPr>
          <w:rStyle w:val="Hiperveza"/>
          <w:rFonts w:ascii="Times New Roman" w:hAnsi="Times New Roman" w:cs="Times New Roman"/>
          <w:color w:val="auto"/>
          <w:sz w:val="24"/>
          <w:szCs w:val="24"/>
          <w:u w:val="none"/>
          <w:shd w:val="clear" w:color="auto" w:fill="FFFFFF"/>
        </w:rPr>
      </w:pPr>
      <w:proofErr w:type="spellStart"/>
      <w:r w:rsidRPr="0075631F">
        <w:rPr>
          <w:rFonts w:ascii="Times New Roman" w:hAnsi="Times New Roman" w:cs="Times New Roman"/>
          <w:bCs/>
          <w:sz w:val="24"/>
          <w:szCs w:val="24"/>
        </w:rPr>
        <w:t>Urbroj</w:t>
      </w:r>
      <w:proofErr w:type="spellEnd"/>
      <w:r w:rsidRPr="0075631F">
        <w:rPr>
          <w:rFonts w:ascii="Times New Roman" w:hAnsi="Times New Roman" w:cs="Times New Roman"/>
          <w:bCs/>
          <w:sz w:val="24"/>
          <w:szCs w:val="24"/>
        </w:rPr>
        <w:t>:</w:t>
      </w:r>
      <w:r w:rsidR="0075631F" w:rsidRPr="0075631F">
        <w:rPr>
          <w:rFonts w:ascii="Times New Roman" w:hAnsi="Times New Roman" w:cs="Times New Roman"/>
          <w:bCs/>
          <w:sz w:val="24"/>
          <w:szCs w:val="24"/>
        </w:rPr>
        <w:t xml:space="preserve"> </w:t>
      </w:r>
      <w:hyperlink r:id="rId5" w:history="1">
        <w:r w:rsidR="00282E2B">
          <w:rPr>
            <w:rStyle w:val="Hiperveza"/>
            <w:rFonts w:ascii="Times New Roman" w:hAnsi="Times New Roman" w:cs="Times New Roman"/>
            <w:color w:val="auto"/>
            <w:sz w:val="24"/>
            <w:szCs w:val="24"/>
            <w:u w:val="none"/>
            <w:shd w:val="clear" w:color="auto" w:fill="FFFFFF"/>
          </w:rPr>
          <w:t>2189-44-26</w:t>
        </w:r>
        <w:r w:rsidR="0075631F" w:rsidRPr="0075631F">
          <w:rPr>
            <w:rStyle w:val="Hiperveza"/>
            <w:rFonts w:ascii="Times New Roman" w:hAnsi="Times New Roman" w:cs="Times New Roman"/>
            <w:color w:val="auto"/>
            <w:sz w:val="24"/>
            <w:szCs w:val="24"/>
            <w:u w:val="none"/>
            <w:shd w:val="clear" w:color="auto" w:fill="FFFFFF"/>
          </w:rPr>
          <w:t>-1</w:t>
        </w:r>
      </w:hyperlink>
    </w:p>
    <w:p w:rsidR="00415906" w:rsidRPr="0075631F" w:rsidRDefault="00415906" w:rsidP="00B47C23">
      <w:pPr>
        <w:autoSpaceDE w:val="0"/>
        <w:autoSpaceDN w:val="0"/>
        <w:adjustRightInd w:val="0"/>
        <w:spacing w:after="0" w:line="240" w:lineRule="auto"/>
        <w:rPr>
          <w:rFonts w:ascii="Times New Roman" w:hAnsi="Times New Roman" w:cs="Times New Roman"/>
          <w:bCs/>
          <w:sz w:val="24"/>
          <w:szCs w:val="24"/>
        </w:rPr>
      </w:pPr>
    </w:p>
    <w:p w:rsidR="000D336A" w:rsidRDefault="000D336A" w:rsidP="00CC4715">
      <w:pPr>
        <w:spacing w:line="360" w:lineRule="auto"/>
        <w:jc w:val="both"/>
        <w:rPr>
          <w:rFonts w:ascii="Times New Roman" w:eastAsia="Calibri" w:hAnsi="Times New Roman" w:cs="Times New Roman"/>
          <w:sz w:val="24"/>
          <w:szCs w:val="24"/>
        </w:rPr>
      </w:pPr>
    </w:p>
    <w:p w:rsidR="004644D8" w:rsidRPr="00CC4715" w:rsidRDefault="004644D8" w:rsidP="00CC4715">
      <w:pPr>
        <w:spacing w:line="360" w:lineRule="auto"/>
        <w:jc w:val="both"/>
        <w:rPr>
          <w:rFonts w:ascii="Times New Roman" w:eastAsia="Calibri" w:hAnsi="Times New Roman" w:cs="Times New Roman"/>
          <w:sz w:val="24"/>
          <w:szCs w:val="24"/>
        </w:rPr>
      </w:pPr>
    </w:p>
    <w:p w:rsidR="00041477" w:rsidRDefault="00041477" w:rsidP="00041477">
      <w:pPr>
        <w:spacing w:after="0" w:line="360" w:lineRule="auto"/>
        <w:rPr>
          <w:rFonts w:ascii="Times New Roman" w:hAnsi="Times New Roman" w:cs="Times New Roman"/>
          <w:sz w:val="24"/>
          <w:szCs w:val="24"/>
        </w:rPr>
      </w:pPr>
    </w:p>
    <w:p w:rsidR="00041477" w:rsidRDefault="00041477" w:rsidP="00041477">
      <w:pPr>
        <w:spacing w:after="0" w:line="360" w:lineRule="auto"/>
        <w:rPr>
          <w:rFonts w:ascii="Times New Roman" w:hAnsi="Times New Roman" w:cs="Times New Roman"/>
          <w:sz w:val="24"/>
          <w:szCs w:val="24"/>
        </w:rPr>
      </w:pPr>
    </w:p>
    <w:p w:rsidR="00041477" w:rsidRPr="00CC4715" w:rsidRDefault="00DF2E66" w:rsidP="0004147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41477" w:rsidRPr="00CC4715">
        <w:rPr>
          <w:rFonts w:ascii="Times New Roman" w:hAnsi="Times New Roman" w:cs="Times New Roman"/>
          <w:sz w:val="24"/>
          <w:szCs w:val="24"/>
        </w:rPr>
        <w:t xml:space="preserve">VODITELJICA RAČUNOVODSTVA       </w:t>
      </w:r>
      <w:r w:rsidR="00041477">
        <w:rPr>
          <w:rFonts w:ascii="Times New Roman" w:hAnsi="Times New Roman" w:cs="Times New Roman"/>
          <w:sz w:val="24"/>
          <w:szCs w:val="24"/>
        </w:rPr>
        <w:t xml:space="preserve">                                           </w:t>
      </w:r>
      <w:r>
        <w:rPr>
          <w:rFonts w:ascii="Times New Roman" w:hAnsi="Times New Roman" w:cs="Times New Roman"/>
          <w:sz w:val="24"/>
          <w:szCs w:val="24"/>
        </w:rPr>
        <w:t xml:space="preserve"> </w:t>
      </w:r>
      <w:r w:rsidR="00041477">
        <w:rPr>
          <w:rFonts w:ascii="Times New Roman" w:hAnsi="Times New Roman" w:cs="Times New Roman"/>
          <w:sz w:val="24"/>
          <w:szCs w:val="24"/>
        </w:rPr>
        <w:t xml:space="preserve">  RAVNATELJ</w:t>
      </w:r>
      <w:r w:rsidR="00041477" w:rsidRPr="00CC4715">
        <w:rPr>
          <w:rFonts w:ascii="Times New Roman" w:hAnsi="Times New Roman" w:cs="Times New Roman"/>
          <w:sz w:val="24"/>
          <w:szCs w:val="24"/>
        </w:rPr>
        <w:t xml:space="preserve">                                                                </w:t>
      </w:r>
      <w:r w:rsidR="00041477">
        <w:rPr>
          <w:rFonts w:ascii="Times New Roman" w:hAnsi="Times New Roman" w:cs="Times New Roman"/>
          <w:sz w:val="24"/>
          <w:szCs w:val="24"/>
        </w:rPr>
        <w:t xml:space="preserve">                 </w:t>
      </w:r>
    </w:p>
    <w:p w:rsidR="00041477" w:rsidRDefault="00041477" w:rsidP="00041477">
      <w:pPr>
        <w:spacing w:after="0" w:line="360" w:lineRule="auto"/>
        <w:rPr>
          <w:rFonts w:ascii="Arimo" w:hAnsi="Arimo"/>
          <w:sz w:val="24"/>
        </w:rPr>
      </w:pPr>
      <w:r w:rsidRPr="00CC4715">
        <w:rPr>
          <w:rFonts w:ascii="Times New Roman" w:hAnsi="Times New Roman" w:cs="Times New Roman"/>
          <w:sz w:val="24"/>
          <w:szCs w:val="24"/>
        </w:rPr>
        <w:t xml:space="preserve">   </w:t>
      </w:r>
      <w:r>
        <w:rPr>
          <w:rFonts w:ascii="Times New Roman" w:hAnsi="Times New Roman" w:cs="Times New Roman"/>
          <w:sz w:val="24"/>
          <w:szCs w:val="24"/>
        </w:rPr>
        <w:t xml:space="preserve">      </w:t>
      </w:r>
      <w:r w:rsidR="00DF2E66">
        <w:rPr>
          <w:rFonts w:ascii="Times New Roman" w:hAnsi="Times New Roman" w:cs="Times New Roman"/>
          <w:sz w:val="24"/>
          <w:szCs w:val="24"/>
        </w:rPr>
        <w:t xml:space="preserve"> </w:t>
      </w:r>
      <w:r>
        <w:rPr>
          <w:rFonts w:ascii="Times New Roman" w:hAnsi="Times New Roman" w:cs="Times New Roman"/>
          <w:sz w:val="24"/>
          <w:szCs w:val="24"/>
        </w:rPr>
        <w:t xml:space="preserve">Tea </w:t>
      </w:r>
      <w:r w:rsidR="0073475C">
        <w:rPr>
          <w:rFonts w:ascii="Times New Roman" w:hAnsi="Times New Roman" w:cs="Times New Roman"/>
          <w:sz w:val="24"/>
          <w:szCs w:val="24"/>
        </w:rPr>
        <w:t>Špoljarić</w:t>
      </w:r>
      <w:r>
        <w:rPr>
          <w:rFonts w:ascii="Times New Roman" w:hAnsi="Times New Roman" w:cs="Times New Roman"/>
          <w:sz w:val="24"/>
          <w:szCs w:val="24"/>
        </w:rPr>
        <w:t xml:space="preserve">, </w:t>
      </w:r>
      <w:proofErr w:type="spellStart"/>
      <w:r w:rsidRPr="00CC4715">
        <w:rPr>
          <w:rFonts w:ascii="Times New Roman" w:hAnsi="Times New Roman" w:cs="Times New Roman"/>
          <w:sz w:val="24"/>
          <w:szCs w:val="24"/>
        </w:rPr>
        <w:t>mag</w:t>
      </w:r>
      <w:proofErr w:type="spellEnd"/>
      <w:r w:rsidRPr="00CC4715">
        <w:rPr>
          <w:rFonts w:ascii="Times New Roman" w:hAnsi="Times New Roman" w:cs="Times New Roman"/>
          <w:sz w:val="24"/>
          <w:szCs w:val="24"/>
        </w:rPr>
        <w:t xml:space="preserve">. </w:t>
      </w:r>
      <w:proofErr w:type="spellStart"/>
      <w:r w:rsidRPr="00CC4715">
        <w:rPr>
          <w:rFonts w:ascii="Times New Roman" w:hAnsi="Times New Roman" w:cs="Times New Roman"/>
          <w:sz w:val="24"/>
          <w:szCs w:val="24"/>
        </w:rPr>
        <w:t>oec</w:t>
      </w:r>
      <w:proofErr w:type="spellEnd"/>
      <w:r w:rsidRPr="00CC47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4715">
        <w:rPr>
          <w:rFonts w:ascii="Times New Roman" w:hAnsi="Times New Roman" w:cs="Times New Roman"/>
          <w:sz w:val="24"/>
          <w:szCs w:val="24"/>
        </w:rPr>
        <w:t>Ivica Tomljano</w:t>
      </w:r>
      <w:r w:rsidRPr="00F35580">
        <w:rPr>
          <w:rFonts w:ascii="Arimo" w:hAnsi="Arimo"/>
          <w:sz w:val="24"/>
        </w:rPr>
        <w:t>vić, prof.</w:t>
      </w:r>
    </w:p>
    <w:p w:rsidR="00041477" w:rsidRDefault="00041477" w:rsidP="00041477">
      <w:pPr>
        <w:spacing w:after="0" w:line="360" w:lineRule="auto"/>
        <w:rPr>
          <w:rFonts w:ascii="Arimo" w:hAnsi="Arimo"/>
          <w:sz w:val="24"/>
        </w:rPr>
      </w:pPr>
    </w:p>
    <w:p w:rsidR="00041477" w:rsidRDefault="00041477" w:rsidP="00041477">
      <w:pPr>
        <w:spacing w:after="0" w:line="360" w:lineRule="auto"/>
        <w:rPr>
          <w:rFonts w:ascii="Arimo" w:hAnsi="Arimo"/>
          <w:sz w:val="24"/>
        </w:rPr>
      </w:pPr>
      <w:r>
        <w:rPr>
          <w:rFonts w:ascii="Arimo" w:hAnsi="Arimo"/>
          <w:sz w:val="24"/>
        </w:rPr>
        <w:t xml:space="preserve">         ___________________________________                                               _________________________________                            </w:t>
      </w:r>
    </w:p>
    <w:p w:rsidR="00B47C23" w:rsidRDefault="00B47C23" w:rsidP="00041477">
      <w:pPr>
        <w:spacing w:after="0" w:line="240" w:lineRule="auto"/>
        <w:rPr>
          <w:rFonts w:ascii="Arimo" w:hAnsi="Arimo"/>
          <w:sz w:val="24"/>
        </w:rPr>
      </w:pPr>
    </w:p>
    <w:p w:rsidR="00B47C23" w:rsidRPr="00F35580" w:rsidRDefault="00B47C23" w:rsidP="00B47C23">
      <w:pPr>
        <w:spacing w:after="0" w:line="360" w:lineRule="auto"/>
        <w:rPr>
          <w:rFonts w:ascii="Arimo" w:hAnsi="Arimo"/>
          <w:sz w:val="24"/>
        </w:rPr>
      </w:pPr>
    </w:p>
    <w:sectPr w:rsidR="00B47C23" w:rsidRPr="00F35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B76"/>
    <w:multiLevelType w:val="multilevel"/>
    <w:tmpl w:val="79A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7563"/>
    <w:multiLevelType w:val="multilevel"/>
    <w:tmpl w:val="6C2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B50"/>
    <w:multiLevelType w:val="hybridMultilevel"/>
    <w:tmpl w:val="0D3E4A1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D7A4A"/>
    <w:multiLevelType w:val="multilevel"/>
    <w:tmpl w:val="A4B2D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E3AB8"/>
    <w:multiLevelType w:val="hybridMultilevel"/>
    <w:tmpl w:val="A1608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3770A5"/>
    <w:multiLevelType w:val="hybridMultilevel"/>
    <w:tmpl w:val="C21C1F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B6C85"/>
    <w:multiLevelType w:val="hybridMultilevel"/>
    <w:tmpl w:val="7FB4A2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CC1E88"/>
    <w:multiLevelType w:val="multilevel"/>
    <w:tmpl w:val="FD8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13D98"/>
    <w:multiLevelType w:val="hybridMultilevel"/>
    <w:tmpl w:val="F8F0A3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C063580"/>
    <w:multiLevelType w:val="hybridMultilevel"/>
    <w:tmpl w:val="DAE8B68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E12267"/>
    <w:multiLevelType w:val="multilevel"/>
    <w:tmpl w:val="F92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11FE9"/>
    <w:multiLevelType w:val="hybridMultilevel"/>
    <w:tmpl w:val="3F12E8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F375A9"/>
    <w:multiLevelType w:val="multilevel"/>
    <w:tmpl w:val="A4B2D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C01010E"/>
    <w:multiLevelType w:val="hybridMultilevel"/>
    <w:tmpl w:val="2ADA37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CCA3109"/>
    <w:multiLevelType w:val="multilevel"/>
    <w:tmpl w:val="B1D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92287"/>
    <w:multiLevelType w:val="hybridMultilevel"/>
    <w:tmpl w:val="212E660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0"/>
  </w:num>
  <w:num w:numId="5">
    <w:abstractNumId w:val="1"/>
  </w:num>
  <w:num w:numId="6">
    <w:abstractNumId w:val="0"/>
  </w:num>
  <w:num w:numId="7">
    <w:abstractNumId w:val="4"/>
  </w:num>
  <w:num w:numId="8">
    <w:abstractNumId w:val="13"/>
  </w:num>
  <w:num w:numId="9">
    <w:abstractNumId w:val="3"/>
  </w:num>
  <w:num w:numId="10">
    <w:abstractNumId w:val="12"/>
  </w:num>
  <w:num w:numId="11">
    <w:abstractNumId w:val="15"/>
  </w:num>
  <w:num w:numId="12">
    <w:abstractNumId w:val="8"/>
  </w:num>
  <w:num w:numId="13">
    <w:abstractNumId w:val="5"/>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5D"/>
    <w:rsid w:val="00030F9F"/>
    <w:rsid w:val="00031041"/>
    <w:rsid w:val="00041477"/>
    <w:rsid w:val="000445E2"/>
    <w:rsid w:val="000556ED"/>
    <w:rsid w:val="00091C63"/>
    <w:rsid w:val="00096CCD"/>
    <w:rsid w:val="000B0AA5"/>
    <w:rsid w:val="000D336A"/>
    <w:rsid w:val="000E1CAE"/>
    <w:rsid w:val="000F6E43"/>
    <w:rsid w:val="00105035"/>
    <w:rsid w:val="0010797F"/>
    <w:rsid w:val="00111C27"/>
    <w:rsid w:val="00124D04"/>
    <w:rsid w:val="00131D27"/>
    <w:rsid w:val="001462EE"/>
    <w:rsid w:val="00154A28"/>
    <w:rsid w:val="00156D19"/>
    <w:rsid w:val="001624E4"/>
    <w:rsid w:val="00172567"/>
    <w:rsid w:val="001A008B"/>
    <w:rsid w:val="001A2B1D"/>
    <w:rsid w:val="001D4219"/>
    <w:rsid w:val="001E0E79"/>
    <w:rsid w:val="00234823"/>
    <w:rsid w:val="0024019C"/>
    <w:rsid w:val="00282E2B"/>
    <w:rsid w:val="00296D58"/>
    <w:rsid w:val="002A528D"/>
    <w:rsid w:val="002C138B"/>
    <w:rsid w:val="002C35D3"/>
    <w:rsid w:val="002E114E"/>
    <w:rsid w:val="002E26A1"/>
    <w:rsid w:val="00302E80"/>
    <w:rsid w:val="00350FAA"/>
    <w:rsid w:val="00355C6E"/>
    <w:rsid w:val="00360F07"/>
    <w:rsid w:val="00363E6E"/>
    <w:rsid w:val="00390AF8"/>
    <w:rsid w:val="003A700F"/>
    <w:rsid w:val="003B65D9"/>
    <w:rsid w:val="003D23F9"/>
    <w:rsid w:val="003E1635"/>
    <w:rsid w:val="003F6071"/>
    <w:rsid w:val="004076DE"/>
    <w:rsid w:val="00415906"/>
    <w:rsid w:val="00453BE2"/>
    <w:rsid w:val="00460E76"/>
    <w:rsid w:val="0046246B"/>
    <w:rsid w:val="004644D8"/>
    <w:rsid w:val="004732F5"/>
    <w:rsid w:val="004A3385"/>
    <w:rsid w:val="004C0CB9"/>
    <w:rsid w:val="004E3E04"/>
    <w:rsid w:val="00533B87"/>
    <w:rsid w:val="0055734D"/>
    <w:rsid w:val="005849BF"/>
    <w:rsid w:val="005A1603"/>
    <w:rsid w:val="005F4388"/>
    <w:rsid w:val="005F5E32"/>
    <w:rsid w:val="006021CA"/>
    <w:rsid w:val="006679C9"/>
    <w:rsid w:val="00671444"/>
    <w:rsid w:val="0067225D"/>
    <w:rsid w:val="006979B9"/>
    <w:rsid w:val="006A2F32"/>
    <w:rsid w:val="006B0493"/>
    <w:rsid w:val="006B29E9"/>
    <w:rsid w:val="006C6431"/>
    <w:rsid w:val="0070674F"/>
    <w:rsid w:val="007275EA"/>
    <w:rsid w:val="0073475C"/>
    <w:rsid w:val="0073703A"/>
    <w:rsid w:val="00751B6D"/>
    <w:rsid w:val="0075631F"/>
    <w:rsid w:val="00763412"/>
    <w:rsid w:val="00771757"/>
    <w:rsid w:val="0077776B"/>
    <w:rsid w:val="007C431D"/>
    <w:rsid w:val="007E03A2"/>
    <w:rsid w:val="007F6416"/>
    <w:rsid w:val="00803BD5"/>
    <w:rsid w:val="00814F10"/>
    <w:rsid w:val="0082700E"/>
    <w:rsid w:val="008563D6"/>
    <w:rsid w:val="0086794E"/>
    <w:rsid w:val="0087510B"/>
    <w:rsid w:val="008B13EE"/>
    <w:rsid w:val="008B543B"/>
    <w:rsid w:val="008C335F"/>
    <w:rsid w:val="008D1D2D"/>
    <w:rsid w:val="008D4A67"/>
    <w:rsid w:val="008D6024"/>
    <w:rsid w:val="008D6EBA"/>
    <w:rsid w:val="00914644"/>
    <w:rsid w:val="00921365"/>
    <w:rsid w:val="00921B0A"/>
    <w:rsid w:val="00947204"/>
    <w:rsid w:val="00954DB1"/>
    <w:rsid w:val="009B2709"/>
    <w:rsid w:val="009C10E6"/>
    <w:rsid w:val="009E3C22"/>
    <w:rsid w:val="00A05F42"/>
    <w:rsid w:val="00A451BB"/>
    <w:rsid w:val="00A72837"/>
    <w:rsid w:val="00A85AED"/>
    <w:rsid w:val="00A97E06"/>
    <w:rsid w:val="00AC54F3"/>
    <w:rsid w:val="00AD78ED"/>
    <w:rsid w:val="00AE7BDB"/>
    <w:rsid w:val="00B057DB"/>
    <w:rsid w:val="00B36F7C"/>
    <w:rsid w:val="00B47C23"/>
    <w:rsid w:val="00B54D35"/>
    <w:rsid w:val="00B806A2"/>
    <w:rsid w:val="00BB566B"/>
    <w:rsid w:val="00BE14C8"/>
    <w:rsid w:val="00C234A5"/>
    <w:rsid w:val="00C65ADE"/>
    <w:rsid w:val="00C66DA3"/>
    <w:rsid w:val="00C678CC"/>
    <w:rsid w:val="00C71DA7"/>
    <w:rsid w:val="00C93861"/>
    <w:rsid w:val="00C94641"/>
    <w:rsid w:val="00CB1235"/>
    <w:rsid w:val="00CB56E9"/>
    <w:rsid w:val="00CC4715"/>
    <w:rsid w:val="00CE333F"/>
    <w:rsid w:val="00CF631B"/>
    <w:rsid w:val="00D05857"/>
    <w:rsid w:val="00D0665A"/>
    <w:rsid w:val="00D11827"/>
    <w:rsid w:val="00D24A99"/>
    <w:rsid w:val="00D45193"/>
    <w:rsid w:val="00D57D2E"/>
    <w:rsid w:val="00D676D3"/>
    <w:rsid w:val="00D9586B"/>
    <w:rsid w:val="00DA335D"/>
    <w:rsid w:val="00DA743F"/>
    <w:rsid w:val="00DB5E11"/>
    <w:rsid w:val="00DE593A"/>
    <w:rsid w:val="00DF2E66"/>
    <w:rsid w:val="00E31B36"/>
    <w:rsid w:val="00E8181D"/>
    <w:rsid w:val="00E834AB"/>
    <w:rsid w:val="00E90FCE"/>
    <w:rsid w:val="00EB6028"/>
    <w:rsid w:val="00EC6936"/>
    <w:rsid w:val="00EE2663"/>
    <w:rsid w:val="00F25520"/>
    <w:rsid w:val="00F35580"/>
    <w:rsid w:val="00F86966"/>
    <w:rsid w:val="00FC41BF"/>
    <w:rsid w:val="00FC4966"/>
    <w:rsid w:val="00FD4528"/>
    <w:rsid w:val="00FD52FC"/>
    <w:rsid w:val="00FF2018"/>
    <w:rsid w:val="00FF4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23C6"/>
  <w15:chartTrackingRefBased/>
  <w15:docId w15:val="{D30E4FB4-7C07-4819-BDBD-2E8CD714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63"/>
    <w:pPr>
      <w:spacing w:after="200" w:line="276" w:lineRule="auto"/>
    </w:pPr>
  </w:style>
  <w:style w:type="paragraph" w:styleId="Naslov2">
    <w:name w:val="heading 2"/>
    <w:basedOn w:val="Normal"/>
    <w:next w:val="Normal"/>
    <w:link w:val="Naslov2Char"/>
    <w:uiPriority w:val="9"/>
    <w:semiHidden/>
    <w:unhideWhenUsed/>
    <w:qFormat/>
    <w:rsid w:val="00B54D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FF4A0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563D6"/>
    <w:pPr>
      <w:spacing w:after="0" w:line="240" w:lineRule="auto"/>
    </w:pPr>
  </w:style>
  <w:style w:type="paragraph" w:styleId="Tekstbalonia">
    <w:name w:val="Balloon Text"/>
    <w:basedOn w:val="Normal"/>
    <w:link w:val="TekstbaloniaChar"/>
    <w:uiPriority w:val="99"/>
    <w:semiHidden/>
    <w:unhideWhenUsed/>
    <w:rsid w:val="001A2B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2B1D"/>
    <w:rPr>
      <w:rFonts w:ascii="Segoe UI" w:hAnsi="Segoe UI" w:cs="Segoe UI"/>
      <w:sz w:val="18"/>
      <w:szCs w:val="18"/>
    </w:rPr>
  </w:style>
  <w:style w:type="character" w:styleId="Naglaeno">
    <w:name w:val="Strong"/>
    <w:basedOn w:val="Zadanifontodlomka"/>
    <w:uiPriority w:val="22"/>
    <w:qFormat/>
    <w:rsid w:val="009B2709"/>
    <w:rPr>
      <w:b/>
      <w:bCs/>
    </w:rPr>
  </w:style>
  <w:style w:type="paragraph" w:styleId="StandardWeb">
    <w:name w:val="Normal (Web)"/>
    <w:basedOn w:val="Normal"/>
    <w:uiPriority w:val="99"/>
    <w:unhideWhenUsed/>
    <w:rsid w:val="009B270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9B2709"/>
    <w:rPr>
      <w:i/>
      <w:iCs/>
    </w:rPr>
  </w:style>
  <w:style w:type="paragraph" w:styleId="Odlomakpopisa">
    <w:name w:val="List Paragraph"/>
    <w:basedOn w:val="Normal"/>
    <w:uiPriority w:val="34"/>
    <w:qFormat/>
    <w:rsid w:val="0055734D"/>
    <w:pPr>
      <w:ind w:left="720"/>
      <w:contextualSpacing/>
    </w:pPr>
  </w:style>
  <w:style w:type="character" w:customStyle="1" w:styleId="Naslov3Char">
    <w:name w:val="Naslov 3 Char"/>
    <w:basedOn w:val="Zadanifontodlomka"/>
    <w:link w:val="Naslov3"/>
    <w:uiPriority w:val="9"/>
    <w:rsid w:val="00FF4A0F"/>
    <w:rPr>
      <w:rFonts w:ascii="Times New Roman" w:eastAsia="Times New Roman" w:hAnsi="Times New Roman" w:cs="Times New Roman"/>
      <w:b/>
      <w:bCs/>
      <w:sz w:val="27"/>
      <w:szCs w:val="27"/>
      <w:lang w:eastAsia="hr-HR"/>
    </w:rPr>
  </w:style>
  <w:style w:type="character" w:customStyle="1" w:styleId="Naslov2Char">
    <w:name w:val="Naslov 2 Char"/>
    <w:basedOn w:val="Zadanifontodlomka"/>
    <w:link w:val="Naslov2"/>
    <w:uiPriority w:val="9"/>
    <w:semiHidden/>
    <w:rsid w:val="00B54D35"/>
    <w:rPr>
      <w:rFonts w:asciiTheme="majorHAnsi" w:eastAsiaTheme="majorEastAsia" w:hAnsiTheme="majorHAnsi" w:cstheme="majorBidi"/>
      <w:color w:val="2F5496" w:themeColor="accent1" w:themeShade="BF"/>
      <w:sz w:val="26"/>
      <w:szCs w:val="26"/>
    </w:rPr>
  </w:style>
  <w:style w:type="paragraph" w:styleId="Opisslike">
    <w:name w:val="caption"/>
    <w:basedOn w:val="Normal"/>
    <w:next w:val="Normal"/>
    <w:uiPriority w:val="35"/>
    <w:unhideWhenUsed/>
    <w:qFormat/>
    <w:rsid w:val="008B13EE"/>
    <w:pPr>
      <w:spacing w:line="240" w:lineRule="auto"/>
    </w:pPr>
    <w:rPr>
      <w:i/>
      <w:iCs/>
      <w:color w:val="44546A" w:themeColor="text2"/>
      <w:sz w:val="18"/>
      <w:szCs w:val="18"/>
    </w:rPr>
  </w:style>
  <w:style w:type="character" w:styleId="Hiperveza">
    <w:name w:val="Hyperlink"/>
    <w:basedOn w:val="Zadanifontodlomka"/>
    <w:uiPriority w:val="99"/>
    <w:semiHidden/>
    <w:unhideWhenUsed/>
    <w:rsid w:val="0075631F"/>
    <w:rPr>
      <w:color w:val="0000FF"/>
      <w:u w:val="single"/>
    </w:rPr>
  </w:style>
  <w:style w:type="paragraph" w:customStyle="1" w:styleId="isselectedend">
    <w:name w:val="isselectedend"/>
    <w:basedOn w:val="Normal"/>
    <w:rsid w:val="005849B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950">
      <w:bodyDiv w:val="1"/>
      <w:marLeft w:val="0"/>
      <w:marRight w:val="0"/>
      <w:marTop w:val="0"/>
      <w:marBottom w:val="0"/>
      <w:divBdr>
        <w:top w:val="none" w:sz="0" w:space="0" w:color="auto"/>
        <w:left w:val="none" w:sz="0" w:space="0" w:color="auto"/>
        <w:bottom w:val="none" w:sz="0" w:space="0" w:color="auto"/>
        <w:right w:val="none" w:sz="0" w:space="0" w:color="auto"/>
      </w:divBdr>
    </w:div>
    <w:div w:id="108159935">
      <w:bodyDiv w:val="1"/>
      <w:marLeft w:val="0"/>
      <w:marRight w:val="0"/>
      <w:marTop w:val="0"/>
      <w:marBottom w:val="0"/>
      <w:divBdr>
        <w:top w:val="none" w:sz="0" w:space="0" w:color="auto"/>
        <w:left w:val="none" w:sz="0" w:space="0" w:color="auto"/>
        <w:bottom w:val="none" w:sz="0" w:space="0" w:color="auto"/>
        <w:right w:val="none" w:sz="0" w:space="0" w:color="auto"/>
      </w:divBdr>
    </w:div>
    <w:div w:id="181165606">
      <w:bodyDiv w:val="1"/>
      <w:marLeft w:val="0"/>
      <w:marRight w:val="0"/>
      <w:marTop w:val="0"/>
      <w:marBottom w:val="0"/>
      <w:divBdr>
        <w:top w:val="none" w:sz="0" w:space="0" w:color="auto"/>
        <w:left w:val="none" w:sz="0" w:space="0" w:color="auto"/>
        <w:bottom w:val="none" w:sz="0" w:space="0" w:color="auto"/>
        <w:right w:val="none" w:sz="0" w:space="0" w:color="auto"/>
      </w:divBdr>
    </w:div>
    <w:div w:id="215240325">
      <w:bodyDiv w:val="1"/>
      <w:marLeft w:val="0"/>
      <w:marRight w:val="0"/>
      <w:marTop w:val="0"/>
      <w:marBottom w:val="0"/>
      <w:divBdr>
        <w:top w:val="none" w:sz="0" w:space="0" w:color="auto"/>
        <w:left w:val="none" w:sz="0" w:space="0" w:color="auto"/>
        <w:bottom w:val="none" w:sz="0" w:space="0" w:color="auto"/>
        <w:right w:val="none" w:sz="0" w:space="0" w:color="auto"/>
      </w:divBdr>
    </w:div>
    <w:div w:id="243147964">
      <w:bodyDiv w:val="1"/>
      <w:marLeft w:val="0"/>
      <w:marRight w:val="0"/>
      <w:marTop w:val="0"/>
      <w:marBottom w:val="0"/>
      <w:divBdr>
        <w:top w:val="none" w:sz="0" w:space="0" w:color="auto"/>
        <w:left w:val="none" w:sz="0" w:space="0" w:color="auto"/>
        <w:bottom w:val="none" w:sz="0" w:space="0" w:color="auto"/>
        <w:right w:val="none" w:sz="0" w:space="0" w:color="auto"/>
      </w:divBdr>
    </w:div>
    <w:div w:id="376588341">
      <w:bodyDiv w:val="1"/>
      <w:marLeft w:val="0"/>
      <w:marRight w:val="0"/>
      <w:marTop w:val="0"/>
      <w:marBottom w:val="0"/>
      <w:divBdr>
        <w:top w:val="none" w:sz="0" w:space="0" w:color="auto"/>
        <w:left w:val="none" w:sz="0" w:space="0" w:color="auto"/>
        <w:bottom w:val="none" w:sz="0" w:space="0" w:color="auto"/>
        <w:right w:val="none" w:sz="0" w:space="0" w:color="auto"/>
      </w:divBdr>
    </w:div>
    <w:div w:id="427311497">
      <w:bodyDiv w:val="1"/>
      <w:marLeft w:val="0"/>
      <w:marRight w:val="0"/>
      <w:marTop w:val="0"/>
      <w:marBottom w:val="0"/>
      <w:divBdr>
        <w:top w:val="none" w:sz="0" w:space="0" w:color="auto"/>
        <w:left w:val="none" w:sz="0" w:space="0" w:color="auto"/>
        <w:bottom w:val="none" w:sz="0" w:space="0" w:color="auto"/>
        <w:right w:val="none" w:sz="0" w:space="0" w:color="auto"/>
      </w:divBdr>
    </w:div>
    <w:div w:id="488255688">
      <w:bodyDiv w:val="1"/>
      <w:marLeft w:val="0"/>
      <w:marRight w:val="0"/>
      <w:marTop w:val="0"/>
      <w:marBottom w:val="0"/>
      <w:divBdr>
        <w:top w:val="none" w:sz="0" w:space="0" w:color="auto"/>
        <w:left w:val="none" w:sz="0" w:space="0" w:color="auto"/>
        <w:bottom w:val="none" w:sz="0" w:space="0" w:color="auto"/>
        <w:right w:val="none" w:sz="0" w:space="0" w:color="auto"/>
      </w:divBdr>
    </w:div>
    <w:div w:id="546838622">
      <w:bodyDiv w:val="1"/>
      <w:marLeft w:val="0"/>
      <w:marRight w:val="0"/>
      <w:marTop w:val="0"/>
      <w:marBottom w:val="0"/>
      <w:divBdr>
        <w:top w:val="none" w:sz="0" w:space="0" w:color="auto"/>
        <w:left w:val="none" w:sz="0" w:space="0" w:color="auto"/>
        <w:bottom w:val="none" w:sz="0" w:space="0" w:color="auto"/>
        <w:right w:val="none" w:sz="0" w:space="0" w:color="auto"/>
      </w:divBdr>
    </w:div>
    <w:div w:id="609163968">
      <w:bodyDiv w:val="1"/>
      <w:marLeft w:val="0"/>
      <w:marRight w:val="0"/>
      <w:marTop w:val="0"/>
      <w:marBottom w:val="0"/>
      <w:divBdr>
        <w:top w:val="none" w:sz="0" w:space="0" w:color="auto"/>
        <w:left w:val="none" w:sz="0" w:space="0" w:color="auto"/>
        <w:bottom w:val="none" w:sz="0" w:space="0" w:color="auto"/>
        <w:right w:val="none" w:sz="0" w:space="0" w:color="auto"/>
      </w:divBdr>
    </w:div>
    <w:div w:id="785269704">
      <w:bodyDiv w:val="1"/>
      <w:marLeft w:val="0"/>
      <w:marRight w:val="0"/>
      <w:marTop w:val="0"/>
      <w:marBottom w:val="0"/>
      <w:divBdr>
        <w:top w:val="none" w:sz="0" w:space="0" w:color="auto"/>
        <w:left w:val="none" w:sz="0" w:space="0" w:color="auto"/>
        <w:bottom w:val="none" w:sz="0" w:space="0" w:color="auto"/>
        <w:right w:val="none" w:sz="0" w:space="0" w:color="auto"/>
      </w:divBdr>
    </w:div>
    <w:div w:id="943267123">
      <w:bodyDiv w:val="1"/>
      <w:marLeft w:val="0"/>
      <w:marRight w:val="0"/>
      <w:marTop w:val="0"/>
      <w:marBottom w:val="0"/>
      <w:divBdr>
        <w:top w:val="none" w:sz="0" w:space="0" w:color="auto"/>
        <w:left w:val="none" w:sz="0" w:space="0" w:color="auto"/>
        <w:bottom w:val="none" w:sz="0" w:space="0" w:color="auto"/>
        <w:right w:val="none" w:sz="0" w:space="0" w:color="auto"/>
      </w:divBdr>
    </w:div>
    <w:div w:id="959648978">
      <w:bodyDiv w:val="1"/>
      <w:marLeft w:val="0"/>
      <w:marRight w:val="0"/>
      <w:marTop w:val="0"/>
      <w:marBottom w:val="0"/>
      <w:divBdr>
        <w:top w:val="none" w:sz="0" w:space="0" w:color="auto"/>
        <w:left w:val="none" w:sz="0" w:space="0" w:color="auto"/>
        <w:bottom w:val="none" w:sz="0" w:space="0" w:color="auto"/>
        <w:right w:val="none" w:sz="0" w:space="0" w:color="auto"/>
      </w:divBdr>
    </w:div>
    <w:div w:id="968362023">
      <w:bodyDiv w:val="1"/>
      <w:marLeft w:val="0"/>
      <w:marRight w:val="0"/>
      <w:marTop w:val="0"/>
      <w:marBottom w:val="0"/>
      <w:divBdr>
        <w:top w:val="none" w:sz="0" w:space="0" w:color="auto"/>
        <w:left w:val="none" w:sz="0" w:space="0" w:color="auto"/>
        <w:bottom w:val="none" w:sz="0" w:space="0" w:color="auto"/>
        <w:right w:val="none" w:sz="0" w:space="0" w:color="auto"/>
      </w:divBdr>
    </w:div>
    <w:div w:id="1018777096">
      <w:bodyDiv w:val="1"/>
      <w:marLeft w:val="0"/>
      <w:marRight w:val="0"/>
      <w:marTop w:val="0"/>
      <w:marBottom w:val="0"/>
      <w:divBdr>
        <w:top w:val="none" w:sz="0" w:space="0" w:color="auto"/>
        <w:left w:val="none" w:sz="0" w:space="0" w:color="auto"/>
        <w:bottom w:val="none" w:sz="0" w:space="0" w:color="auto"/>
        <w:right w:val="none" w:sz="0" w:space="0" w:color="auto"/>
      </w:divBdr>
    </w:div>
    <w:div w:id="1070274486">
      <w:bodyDiv w:val="1"/>
      <w:marLeft w:val="0"/>
      <w:marRight w:val="0"/>
      <w:marTop w:val="0"/>
      <w:marBottom w:val="0"/>
      <w:divBdr>
        <w:top w:val="none" w:sz="0" w:space="0" w:color="auto"/>
        <w:left w:val="none" w:sz="0" w:space="0" w:color="auto"/>
        <w:bottom w:val="none" w:sz="0" w:space="0" w:color="auto"/>
        <w:right w:val="none" w:sz="0" w:space="0" w:color="auto"/>
      </w:divBdr>
    </w:div>
    <w:div w:id="1183743896">
      <w:bodyDiv w:val="1"/>
      <w:marLeft w:val="0"/>
      <w:marRight w:val="0"/>
      <w:marTop w:val="0"/>
      <w:marBottom w:val="0"/>
      <w:divBdr>
        <w:top w:val="none" w:sz="0" w:space="0" w:color="auto"/>
        <w:left w:val="none" w:sz="0" w:space="0" w:color="auto"/>
        <w:bottom w:val="none" w:sz="0" w:space="0" w:color="auto"/>
        <w:right w:val="none" w:sz="0" w:space="0" w:color="auto"/>
      </w:divBdr>
    </w:div>
    <w:div w:id="1230339431">
      <w:bodyDiv w:val="1"/>
      <w:marLeft w:val="0"/>
      <w:marRight w:val="0"/>
      <w:marTop w:val="0"/>
      <w:marBottom w:val="0"/>
      <w:divBdr>
        <w:top w:val="none" w:sz="0" w:space="0" w:color="auto"/>
        <w:left w:val="none" w:sz="0" w:space="0" w:color="auto"/>
        <w:bottom w:val="none" w:sz="0" w:space="0" w:color="auto"/>
        <w:right w:val="none" w:sz="0" w:space="0" w:color="auto"/>
      </w:divBdr>
    </w:div>
    <w:div w:id="1276786342">
      <w:bodyDiv w:val="1"/>
      <w:marLeft w:val="0"/>
      <w:marRight w:val="0"/>
      <w:marTop w:val="0"/>
      <w:marBottom w:val="0"/>
      <w:divBdr>
        <w:top w:val="none" w:sz="0" w:space="0" w:color="auto"/>
        <w:left w:val="none" w:sz="0" w:space="0" w:color="auto"/>
        <w:bottom w:val="none" w:sz="0" w:space="0" w:color="auto"/>
        <w:right w:val="none" w:sz="0" w:space="0" w:color="auto"/>
      </w:divBdr>
    </w:div>
    <w:div w:id="1311640657">
      <w:bodyDiv w:val="1"/>
      <w:marLeft w:val="0"/>
      <w:marRight w:val="0"/>
      <w:marTop w:val="0"/>
      <w:marBottom w:val="0"/>
      <w:divBdr>
        <w:top w:val="none" w:sz="0" w:space="0" w:color="auto"/>
        <w:left w:val="none" w:sz="0" w:space="0" w:color="auto"/>
        <w:bottom w:val="none" w:sz="0" w:space="0" w:color="auto"/>
        <w:right w:val="none" w:sz="0" w:space="0" w:color="auto"/>
      </w:divBdr>
    </w:div>
    <w:div w:id="1528450210">
      <w:bodyDiv w:val="1"/>
      <w:marLeft w:val="0"/>
      <w:marRight w:val="0"/>
      <w:marTop w:val="0"/>
      <w:marBottom w:val="0"/>
      <w:divBdr>
        <w:top w:val="none" w:sz="0" w:space="0" w:color="auto"/>
        <w:left w:val="none" w:sz="0" w:space="0" w:color="auto"/>
        <w:bottom w:val="none" w:sz="0" w:space="0" w:color="auto"/>
        <w:right w:val="none" w:sz="0" w:space="0" w:color="auto"/>
      </w:divBdr>
    </w:div>
    <w:div w:id="1595359852">
      <w:bodyDiv w:val="1"/>
      <w:marLeft w:val="0"/>
      <w:marRight w:val="0"/>
      <w:marTop w:val="0"/>
      <w:marBottom w:val="0"/>
      <w:divBdr>
        <w:top w:val="none" w:sz="0" w:space="0" w:color="auto"/>
        <w:left w:val="none" w:sz="0" w:space="0" w:color="auto"/>
        <w:bottom w:val="none" w:sz="0" w:space="0" w:color="auto"/>
        <w:right w:val="none" w:sz="0" w:space="0" w:color="auto"/>
      </w:divBdr>
    </w:div>
    <w:div w:id="1790708593">
      <w:bodyDiv w:val="1"/>
      <w:marLeft w:val="0"/>
      <w:marRight w:val="0"/>
      <w:marTop w:val="0"/>
      <w:marBottom w:val="0"/>
      <w:divBdr>
        <w:top w:val="none" w:sz="0" w:space="0" w:color="auto"/>
        <w:left w:val="none" w:sz="0" w:space="0" w:color="auto"/>
        <w:bottom w:val="none" w:sz="0" w:space="0" w:color="auto"/>
        <w:right w:val="none" w:sz="0" w:space="0" w:color="auto"/>
      </w:divBdr>
    </w:div>
    <w:div w:id="1905873100">
      <w:bodyDiv w:val="1"/>
      <w:marLeft w:val="0"/>
      <w:marRight w:val="0"/>
      <w:marTop w:val="0"/>
      <w:marBottom w:val="0"/>
      <w:divBdr>
        <w:top w:val="none" w:sz="0" w:space="0" w:color="auto"/>
        <w:left w:val="none" w:sz="0" w:space="0" w:color="auto"/>
        <w:bottom w:val="none" w:sz="0" w:space="0" w:color="auto"/>
        <w:right w:val="none" w:sz="0" w:space="0" w:color="auto"/>
      </w:divBdr>
    </w:div>
    <w:div w:id="2025160447">
      <w:bodyDiv w:val="1"/>
      <w:marLeft w:val="0"/>
      <w:marRight w:val="0"/>
      <w:marTop w:val="0"/>
      <w:marBottom w:val="0"/>
      <w:divBdr>
        <w:top w:val="none" w:sz="0" w:space="0" w:color="auto"/>
        <w:left w:val="none" w:sz="0" w:space="0" w:color="auto"/>
        <w:bottom w:val="none" w:sz="0" w:space="0" w:color="auto"/>
        <w:right w:val="none" w:sz="0" w:space="0" w:color="auto"/>
      </w:divBdr>
    </w:div>
    <w:div w:id="2041471650">
      <w:bodyDiv w:val="1"/>
      <w:marLeft w:val="0"/>
      <w:marRight w:val="0"/>
      <w:marTop w:val="0"/>
      <w:marBottom w:val="0"/>
      <w:divBdr>
        <w:top w:val="none" w:sz="0" w:space="0" w:color="auto"/>
        <w:left w:val="none" w:sz="0" w:space="0" w:color="auto"/>
        <w:bottom w:val="none" w:sz="0" w:space="0" w:color="auto"/>
        <w:right w:val="none" w:sz="0" w:space="0" w:color="auto"/>
      </w:divBdr>
      <w:divsChild>
        <w:div w:id="1953323004">
          <w:marLeft w:val="0"/>
          <w:marRight w:val="0"/>
          <w:marTop w:val="0"/>
          <w:marBottom w:val="0"/>
          <w:divBdr>
            <w:top w:val="none" w:sz="0" w:space="0" w:color="auto"/>
            <w:left w:val="none" w:sz="0" w:space="0" w:color="auto"/>
            <w:bottom w:val="none" w:sz="0" w:space="0" w:color="auto"/>
            <w:right w:val="none" w:sz="0" w:space="0" w:color="auto"/>
          </w:divBdr>
          <w:divsChild>
            <w:div w:id="1768113723">
              <w:marLeft w:val="0"/>
              <w:marRight w:val="0"/>
              <w:marTop w:val="0"/>
              <w:marBottom w:val="0"/>
              <w:divBdr>
                <w:top w:val="none" w:sz="0" w:space="0" w:color="auto"/>
                <w:left w:val="none" w:sz="0" w:space="0" w:color="auto"/>
                <w:bottom w:val="none" w:sz="0" w:space="0" w:color="auto"/>
                <w:right w:val="none" w:sz="0" w:space="0" w:color="auto"/>
              </w:divBdr>
              <w:divsChild>
                <w:div w:id="72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2189-44-25-1"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11</Pages>
  <Words>2938</Words>
  <Characters>16749</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Nada</cp:lastModifiedBy>
  <cp:revision>26</cp:revision>
  <cp:lastPrinted>2026-02-27T10:25:00Z</cp:lastPrinted>
  <dcterms:created xsi:type="dcterms:W3CDTF">2025-07-14T08:32:00Z</dcterms:created>
  <dcterms:modified xsi:type="dcterms:W3CDTF">2026-07-15T09:28:00Z</dcterms:modified>
</cp:coreProperties>
</file>